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31C5CDDC" w:rsidR="00E027B4" w:rsidRDefault="007E3890" w:rsidP="00EE729D">
      <w:pPr>
        <w:pStyle w:val="Heading1"/>
      </w:pPr>
      <w:r>
        <w:t>14822</w:t>
      </w:r>
      <w:r w:rsidR="00E027B4">
        <w:t xml:space="preserve"> –</w:t>
      </w:r>
      <w:r>
        <w:t xml:space="preserve"> IT Project Management</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6A25D496" w14:textId="3B0B0736" w:rsidR="005C17E9" w:rsidRPr="00496A56" w:rsidRDefault="00F914ED" w:rsidP="003E6E49">
      <w:pPr>
        <w:pStyle w:val="ListParagraph"/>
        <w:numPr>
          <w:ilvl w:val="0"/>
          <w:numId w:val="43"/>
        </w:numPr>
        <w:rPr>
          <w:rFonts w:cs="Arial"/>
          <w:b/>
        </w:rPr>
      </w:pPr>
      <w:bookmarkStart w:id="0" w:name="FAQ_1"/>
      <w:bookmarkStart w:id="1" w:name="FAQ_2"/>
      <w:bookmarkEnd w:id="0"/>
      <w:bookmarkEnd w:id="1"/>
      <w:r w:rsidRPr="00C218C3">
        <w:rPr>
          <w:b/>
        </w:rPr>
        <w:t xml:space="preserve">Can I choose any awarded </w:t>
      </w:r>
      <w:r w:rsidR="005D145A" w:rsidRPr="00C218C3">
        <w:rPr>
          <w:b/>
        </w:rPr>
        <w:t>contractor</w:t>
      </w:r>
      <w:r w:rsidRPr="00C218C3">
        <w:rPr>
          <w:b/>
        </w:rPr>
        <w:t xml:space="preserve"> to purchase from this contract?</w:t>
      </w:r>
    </w:p>
    <w:p w14:paraId="29E6605F" w14:textId="31E7089B" w:rsidR="00181358" w:rsidRDefault="0000155B" w:rsidP="00181358">
      <w:pPr>
        <w:pStyle w:val="ListParagraph"/>
        <w:spacing w:after="240"/>
        <w:ind w:left="360"/>
        <w:rPr>
          <w:rFonts w:cs="Arial"/>
        </w:rPr>
      </w:pPr>
      <w:r w:rsidRPr="0000155B">
        <w:rPr>
          <w:rFonts w:cs="Arial"/>
        </w:rPr>
        <w:t>This contract has multiple contractors</w:t>
      </w:r>
      <w:r w:rsidR="00181358">
        <w:rPr>
          <w:rFonts w:cs="Arial"/>
        </w:rPr>
        <w:t xml:space="preserve"> awarded by category and subcategory.  </w:t>
      </w:r>
    </w:p>
    <w:p w14:paraId="7C6CB032" w14:textId="77777777" w:rsidR="00181358" w:rsidRDefault="00181358" w:rsidP="00181358">
      <w:pPr>
        <w:pStyle w:val="ListParagraph"/>
        <w:spacing w:after="240"/>
        <w:ind w:left="360"/>
        <w:rPr>
          <w:rFonts w:cs="Arial"/>
        </w:rPr>
      </w:pPr>
    </w:p>
    <w:p w14:paraId="5871058F" w14:textId="58BA9593" w:rsidR="00181358" w:rsidRPr="009E1E91" w:rsidRDefault="00181358" w:rsidP="003B48E0">
      <w:pPr>
        <w:pStyle w:val="ListParagraph"/>
        <w:spacing w:after="240"/>
        <w:ind w:left="360"/>
        <w:rPr>
          <w:rFonts w:cs="Arial"/>
          <w:b/>
          <w:bCs/>
        </w:rPr>
      </w:pPr>
      <w:r w:rsidRPr="009E1E91">
        <w:rPr>
          <w:rFonts w:cs="Arial"/>
          <w:b/>
          <w:bCs/>
        </w:rPr>
        <w:t>14822 Project Management Services:</w:t>
      </w:r>
    </w:p>
    <w:p w14:paraId="78AFFBE1" w14:textId="77777777" w:rsidR="00181358" w:rsidRDefault="00181358" w:rsidP="009E1E91">
      <w:pPr>
        <w:spacing w:before="100" w:beforeAutospacing="1"/>
        <w:ind w:firstLine="360"/>
        <w:rPr>
          <w:rFonts w:cs="Arial"/>
        </w:rPr>
        <w:sectPr w:rsidR="00181358" w:rsidSect="00114333">
          <w:footerReference w:type="default" r:id="rId11"/>
          <w:headerReference w:type="first" r:id="rId12"/>
          <w:footerReference w:type="first" r:id="rId13"/>
          <w:pgSz w:w="12240" w:h="15840" w:code="1"/>
          <w:pgMar w:top="720" w:right="1440" w:bottom="1440" w:left="1440" w:header="576" w:footer="720" w:gutter="0"/>
          <w:cols w:space="720"/>
          <w:titlePg/>
          <w:docGrid w:linePitch="360"/>
        </w:sectPr>
      </w:pPr>
    </w:p>
    <w:p w14:paraId="4E492521" w14:textId="58FD06F4" w:rsidR="00181358" w:rsidRPr="00181358" w:rsidRDefault="00181358" w:rsidP="00181358">
      <w:pPr>
        <w:ind w:firstLine="360"/>
        <w:rPr>
          <w:rFonts w:cs="Arial"/>
        </w:rPr>
      </w:pPr>
      <w:r w:rsidRPr="00181358">
        <w:rPr>
          <w:rFonts w:cs="Arial"/>
        </w:rPr>
        <w:t>IT Project Management</w:t>
      </w:r>
    </w:p>
    <w:p w14:paraId="015548A9" w14:textId="77777777" w:rsidR="00181358" w:rsidRDefault="00181358" w:rsidP="009E1E91">
      <w:pPr>
        <w:pStyle w:val="ListParagraph"/>
        <w:numPr>
          <w:ilvl w:val="0"/>
          <w:numId w:val="50"/>
        </w:numPr>
        <w:jc w:val="both"/>
        <w:rPr>
          <w:rFonts w:cs="Arial"/>
        </w:rPr>
      </w:pPr>
      <w:r>
        <w:rPr>
          <w:rFonts w:cs="Arial"/>
        </w:rPr>
        <w:t>Journey</w:t>
      </w:r>
    </w:p>
    <w:p w14:paraId="6590E17E" w14:textId="77777777" w:rsidR="00181358" w:rsidRDefault="00181358" w:rsidP="009E1E91">
      <w:pPr>
        <w:pStyle w:val="ListParagraph"/>
        <w:numPr>
          <w:ilvl w:val="0"/>
          <w:numId w:val="50"/>
        </w:numPr>
        <w:jc w:val="both"/>
        <w:rPr>
          <w:rFonts w:cs="Arial"/>
        </w:rPr>
      </w:pPr>
      <w:r>
        <w:rPr>
          <w:rFonts w:cs="Arial"/>
        </w:rPr>
        <w:t xml:space="preserve">Senior </w:t>
      </w:r>
    </w:p>
    <w:p w14:paraId="7EA9ED00" w14:textId="77777777" w:rsidR="00181358" w:rsidRDefault="00181358" w:rsidP="009E1E91">
      <w:pPr>
        <w:pStyle w:val="ListParagraph"/>
        <w:numPr>
          <w:ilvl w:val="0"/>
          <w:numId w:val="50"/>
        </w:numPr>
        <w:jc w:val="both"/>
        <w:rPr>
          <w:rFonts w:cs="Arial"/>
        </w:rPr>
      </w:pPr>
      <w:r>
        <w:rPr>
          <w:rFonts w:cs="Arial"/>
        </w:rPr>
        <w:t>Expert</w:t>
      </w:r>
    </w:p>
    <w:p w14:paraId="4363C5DD" w14:textId="77777777" w:rsidR="00181358" w:rsidRPr="009E1E91" w:rsidRDefault="00181358" w:rsidP="00181358">
      <w:pPr>
        <w:rPr>
          <w:rFonts w:cs="Arial"/>
          <w:sz w:val="18"/>
          <w:szCs w:val="18"/>
        </w:rPr>
      </w:pPr>
    </w:p>
    <w:p w14:paraId="51B03E1C" w14:textId="0294FA7A" w:rsidR="00181358" w:rsidRPr="00181358" w:rsidRDefault="00181358" w:rsidP="00181358">
      <w:pPr>
        <w:ind w:firstLine="360"/>
        <w:rPr>
          <w:rFonts w:cs="Arial"/>
        </w:rPr>
      </w:pPr>
      <w:r w:rsidRPr="00181358">
        <w:rPr>
          <w:rFonts w:cs="Arial"/>
        </w:rPr>
        <w:t xml:space="preserve">IT </w:t>
      </w:r>
      <w:r>
        <w:rPr>
          <w:rFonts w:cs="Arial"/>
        </w:rPr>
        <w:t>Quality Assurance</w:t>
      </w:r>
    </w:p>
    <w:p w14:paraId="714BA710" w14:textId="77777777" w:rsidR="00181358" w:rsidRPr="00181358" w:rsidRDefault="00181358" w:rsidP="009E1E91">
      <w:pPr>
        <w:pStyle w:val="ListParagraph"/>
        <w:numPr>
          <w:ilvl w:val="0"/>
          <w:numId w:val="51"/>
        </w:numPr>
        <w:rPr>
          <w:rFonts w:cs="Arial"/>
        </w:rPr>
      </w:pPr>
      <w:r w:rsidRPr="00181358">
        <w:rPr>
          <w:rFonts w:cs="Arial"/>
        </w:rPr>
        <w:t>Journey</w:t>
      </w:r>
    </w:p>
    <w:p w14:paraId="7E550A6B" w14:textId="77777777" w:rsidR="00181358" w:rsidRPr="00181358" w:rsidRDefault="00181358" w:rsidP="009E1E91">
      <w:pPr>
        <w:pStyle w:val="ListParagraph"/>
        <w:numPr>
          <w:ilvl w:val="0"/>
          <w:numId w:val="51"/>
        </w:numPr>
        <w:rPr>
          <w:rFonts w:cs="Arial"/>
        </w:rPr>
      </w:pPr>
      <w:r w:rsidRPr="00181358">
        <w:rPr>
          <w:rFonts w:cs="Arial"/>
        </w:rPr>
        <w:t xml:space="preserve">Senior </w:t>
      </w:r>
    </w:p>
    <w:p w14:paraId="1F7DA395" w14:textId="77777777" w:rsidR="00181358" w:rsidRPr="00181358" w:rsidRDefault="00181358" w:rsidP="009E1E91">
      <w:pPr>
        <w:pStyle w:val="ListParagraph"/>
        <w:numPr>
          <w:ilvl w:val="0"/>
          <w:numId w:val="51"/>
        </w:numPr>
        <w:rPr>
          <w:rFonts w:cs="Arial"/>
        </w:rPr>
      </w:pPr>
      <w:r w:rsidRPr="00181358">
        <w:rPr>
          <w:rFonts w:cs="Arial"/>
        </w:rPr>
        <w:t>Expert</w:t>
      </w:r>
    </w:p>
    <w:p w14:paraId="125ED14A" w14:textId="77777777" w:rsidR="00181358" w:rsidRDefault="00181358" w:rsidP="00181358">
      <w:pPr>
        <w:rPr>
          <w:rFonts w:cs="Arial"/>
        </w:rPr>
        <w:sectPr w:rsidR="00181358" w:rsidSect="009E1E91">
          <w:type w:val="continuous"/>
          <w:pgSz w:w="12240" w:h="15840" w:code="1"/>
          <w:pgMar w:top="720" w:right="1440" w:bottom="1440" w:left="1440" w:header="576" w:footer="720" w:gutter="0"/>
          <w:cols w:num="2" w:space="720"/>
          <w:titlePg/>
          <w:docGrid w:linePitch="360"/>
        </w:sectPr>
      </w:pPr>
    </w:p>
    <w:p w14:paraId="7D18194F" w14:textId="2D8FF5E4" w:rsidR="00877461" w:rsidRDefault="00877461" w:rsidP="003E6E49">
      <w:pPr>
        <w:pStyle w:val="ListParagraph"/>
        <w:ind w:left="360"/>
        <w:rPr>
          <w:rFonts w:cs="Arial"/>
        </w:rPr>
      </w:pP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w:t>
      </w:r>
      <w:r w:rsidR="00756AD6">
        <w:rPr>
          <w:rFonts w:cs="Arial"/>
        </w:rPr>
        <w:t xml:space="preserve">category and subcategory. </w:t>
      </w:r>
      <w:r w:rsidR="0000155B">
        <w:rPr>
          <w:rFonts w:cs="Arial"/>
        </w:rPr>
        <w:t xml:space="preserve">Purchasers may not use a </w:t>
      </w:r>
      <w:r w:rsidR="0013107C">
        <w:rPr>
          <w:rFonts w:cs="Arial"/>
        </w:rPr>
        <w:t>c</w:t>
      </w:r>
      <w:r w:rsidR="0000155B">
        <w:rPr>
          <w:rFonts w:cs="Arial"/>
        </w:rPr>
        <w:t xml:space="preserve">ontractor to obtain </w:t>
      </w:r>
      <w:r w:rsidR="00756AD6">
        <w:rPr>
          <w:rFonts w:cs="Arial"/>
        </w:rPr>
        <w:t>IT Project Management services</w:t>
      </w:r>
      <w:r w:rsidR="0000155B">
        <w:rPr>
          <w:rFonts w:cs="Arial"/>
        </w:rPr>
        <w:t xml:space="preserve"> from a </w:t>
      </w:r>
      <w:r w:rsidR="00756AD6">
        <w:rPr>
          <w:rFonts w:cs="Arial"/>
        </w:rPr>
        <w:t>category</w:t>
      </w:r>
      <w:r w:rsidR="0000155B">
        <w:rPr>
          <w:rFonts w:cs="Arial"/>
        </w:rPr>
        <w:t xml:space="preserve"> that was not awarded to that </w:t>
      </w:r>
      <w:r w:rsidR="0013107C">
        <w:rPr>
          <w:rFonts w:cs="Arial"/>
        </w:rPr>
        <w:t>c</w:t>
      </w:r>
      <w:r w:rsidR="0000155B">
        <w:rPr>
          <w:rFonts w:cs="Arial"/>
        </w:rPr>
        <w:t xml:space="preserve">ontractor. </w:t>
      </w:r>
      <w:r>
        <w:rPr>
          <w:rFonts w:cs="Arial"/>
        </w:rPr>
        <w:t>State of Washington Agency customers are not required to conduct further competition to choose an awarded contractor. Other customers should follow their applicable rules regarding contractor selection.</w:t>
      </w:r>
      <w:r w:rsidR="003E6E49">
        <w:rPr>
          <w:rFonts w:cs="Arial"/>
        </w:rPr>
        <w:t xml:space="preserve"> </w:t>
      </w:r>
    </w:p>
    <w:p w14:paraId="5475C483" w14:textId="208FF126" w:rsidR="003046E4" w:rsidRDefault="003046E4" w:rsidP="005E547E">
      <w:pPr>
        <w:pStyle w:val="ListParagraph"/>
        <w:ind w:left="360"/>
        <w:jc w:val="both"/>
        <w:rPr>
          <w:rFonts w:cs="Arial"/>
        </w:rPr>
      </w:pPr>
    </w:p>
    <w:p w14:paraId="28EC894C" w14:textId="487285E9" w:rsidR="00E460C3" w:rsidRPr="00114333" w:rsidRDefault="00E460C3" w:rsidP="003E6E49">
      <w:pPr>
        <w:pStyle w:val="ListParagraph"/>
        <w:numPr>
          <w:ilvl w:val="0"/>
          <w:numId w:val="43"/>
        </w:numPr>
        <w:rPr>
          <w:b/>
        </w:rPr>
      </w:pPr>
      <w:bookmarkStart w:id="2" w:name="FAQ_3"/>
      <w:bookmarkStart w:id="3" w:name="FAQ_4"/>
      <w:bookmarkStart w:id="4" w:name="FAQ_5"/>
      <w:bookmarkEnd w:id="2"/>
      <w:bookmarkEnd w:id="3"/>
      <w:bookmarkEnd w:id="4"/>
      <w:r w:rsidRPr="00C4029F">
        <w:rPr>
          <w:b/>
        </w:rPr>
        <w:t xml:space="preserve">How can I determine the best </w:t>
      </w:r>
      <w:r w:rsidR="00A56010" w:rsidRPr="00C4029F">
        <w:rPr>
          <w:b/>
        </w:rPr>
        <w:t>awarded c</w:t>
      </w:r>
      <w:r w:rsidRPr="00C4029F">
        <w:rPr>
          <w:b/>
        </w:rPr>
        <w:t>ontractor to use?</w:t>
      </w:r>
    </w:p>
    <w:p w14:paraId="57B5BF53" w14:textId="3B385338" w:rsidR="003B10A9" w:rsidRPr="003E6E49" w:rsidRDefault="00AB3B0A" w:rsidP="003E6E49">
      <w:pPr>
        <w:spacing w:after="60"/>
        <w:ind w:left="360"/>
        <w:rPr>
          <w:rFonts w:cs="Arial"/>
        </w:rPr>
      </w:pPr>
      <w:r w:rsidRPr="000C284F">
        <w:rPr>
          <w:rFonts w:cs="Arial"/>
        </w:rPr>
        <w:t>Enterprise Services</w:t>
      </w:r>
      <w:r w:rsidR="00E460C3" w:rsidRPr="000C284F">
        <w:rPr>
          <w:rFonts w:cs="Arial"/>
        </w:rPr>
        <w:t xml:space="preserve"> recommends reviewing the </w:t>
      </w:r>
      <w:hyperlink r:id="rId14" w:history="1">
        <w:r w:rsidR="003B48E0">
          <w:rPr>
            <w:rStyle w:val="Hyperlink"/>
            <w:rFonts w:cs="Arial"/>
          </w:rPr>
          <w:t>contract summary page</w:t>
        </w:r>
      </w:hyperlink>
      <w:r w:rsidR="003B48E0">
        <w:rPr>
          <w:rFonts w:cs="Arial"/>
        </w:rPr>
        <w:t xml:space="preserve"> f</w:t>
      </w:r>
      <w:r w:rsidR="00E460C3" w:rsidRPr="000C284F">
        <w:rPr>
          <w:rFonts w:cs="Arial"/>
        </w:rPr>
        <w:t>or information about the winning bid</w:t>
      </w:r>
      <w:r w:rsidR="00E971E3" w:rsidRPr="000C284F">
        <w:rPr>
          <w:rFonts w:cs="Arial"/>
        </w:rPr>
        <w:t>s</w:t>
      </w:r>
      <w:r w:rsidR="00E460C3" w:rsidRPr="000C284F">
        <w:rPr>
          <w:rFonts w:cs="Arial"/>
        </w:rPr>
        <w:t xml:space="preserve">, including contractual information, pricing, and any special provisions. In </w:t>
      </w:r>
      <w:r w:rsidR="003E6E49" w:rsidRPr="000C284F">
        <w:rPr>
          <w:rFonts w:cs="Arial"/>
        </w:rPr>
        <w:t>addition,</w:t>
      </w:r>
      <w:r w:rsidR="00E460C3" w:rsidRPr="000C284F">
        <w:rPr>
          <w:rFonts w:cs="Arial"/>
        </w:rPr>
        <w:t xml:space="preserve"> the bid tabulation summarizing </w:t>
      </w:r>
      <w:r w:rsidRPr="000C284F">
        <w:rPr>
          <w:rFonts w:cs="Arial"/>
        </w:rPr>
        <w:t>Enterprise Services’</w:t>
      </w:r>
      <w:r w:rsidR="00E460C3" w:rsidRPr="000C284F">
        <w:rPr>
          <w:rFonts w:cs="Arial"/>
        </w:rPr>
        <w:t xml:space="preserve"> evaluation and scores for each </w:t>
      </w:r>
      <w:r w:rsidR="00A56010" w:rsidRPr="000C284F">
        <w:rPr>
          <w:rFonts w:cs="Arial"/>
        </w:rPr>
        <w:t>c</w:t>
      </w:r>
      <w:r w:rsidR="00E460C3" w:rsidRPr="000C284F">
        <w:rPr>
          <w:rFonts w:cs="Arial"/>
        </w:rPr>
        <w:t xml:space="preserve">ontractor. </w:t>
      </w:r>
      <w:r w:rsidR="00A56010" w:rsidRPr="000C284F">
        <w:rPr>
          <w:rFonts w:cs="Arial"/>
        </w:rPr>
        <w:t>Purchasers</w:t>
      </w:r>
      <w:r w:rsidR="00E460C3" w:rsidRPr="000C284F">
        <w:rPr>
          <w:rFonts w:cs="Arial"/>
        </w:rPr>
        <w:t xml:space="preserve"> can </w:t>
      </w:r>
      <w:r w:rsidR="00594B0E" w:rsidRPr="000C284F">
        <w:rPr>
          <w:rFonts w:cs="Arial"/>
        </w:rPr>
        <w:t xml:space="preserve">also </w:t>
      </w:r>
      <w:r w:rsidR="00E460C3" w:rsidRPr="000C284F">
        <w:rPr>
          <w:rFonts w:cs="Arial"/>
        </w:rPr>
        <w:t xml:space="preserve">review the “vendor and contract performance feedback” submitted by other </w:t>
      </w:r>
      <w:r w:rsidR="00A56010" w:rsidRPr="000C284F">
        <w:rPr>
          <w:rFonts w:cs="Arial"/>
        </w:rPr>
        <w:t>purchasers</w:t>
      </w:r>
      <w:r w:rsidR="00E460C3" w:rsidRPr="000C284F">
        <w:rPr>
          <w:rFonts w:cs="Arial"/>
        </w:rPr>
        <w:t xml:space="preserve"> to </w:t>
      </w:r>
      <w:r w:rsidRPr="000C284F">
        <w:rPr>
          <w:rFonts w:cs="Arial"/>
        </w:rPr>
        <w:t>Enterprise Services</w:t>
      </w:r>
      <w:r w:rsidR="00E460C3" w:rsidRPr="000C284F">
        <w:rPr>
          <w:rFonts w:cs="Arial"/>
        </w:rPr>
        <w:t xml:space="preserve">. </w:t>
      </w:r>
      <w:r w:rsidR="00A56010" w:rsidRPr="000C284F">
        <w:rPr>
          <w:rFonts w:cs="Arial"/>
        </w:rPr>
        <w:t>Purchasers</w:t>
      </w:r>
      <w:r w:rsidR="00E460C3" w:rsidRPr="000C284F">
        <w:rPr>
          <w:rFonts w:cs="Arial"/>
        </w:rPr>
        <w:t xml:space="preserve"> should email the Contract </w:t>
      </w:r>
      <w:r w:rsidR="00A56010" w:rsidRPr="000C284F">
        <w:rPr>
          <w:rFonts w:cs="Arial"/>
        </w:rPr>
        <w:t>Administrator</w:t>
      </w:r>
      <w:r w:rsidR="00E460C3" w:rsidRPr="000C284F">
        <w:rPr>
          <w:rFonts w:cs="Arial"/>
        </w:rPr>
        <w:t xml:space="preserve"> with the request </w:t>
      </w:r>
      <w:r w:rsidR="00594B0E" w:rsidRPr="000C284F">
        <w:rPr>
          <w:rFonts w:cs="Arial"/>
        </w:rPr>
        <w:t xml:space="preserve">to view the feedback. </w:t>
      </w:r>
      <w:r w:rsidR="00E460C3" w:rsidRPr="000C284F">
        <w:rPr>
          <w:rFonts w:cs="Arial"/>
        </w:rPr>
        <w:t xml:space="preserve">Please note that this survey information does not represent the opinion of </w:t>
      </w:r>
      <w:r w:rsidRPr="000C284F">
        <w:rPr>
          <w:rFonts w:cs="Arial"/>
        </w:rPr>
        <w:t>Enterprise Services</w:t>
      </w:r>
      <w:r w:rsidR="00E460C3" w:rsidRPr="000C284F">
        <w:rPr>
          <w:rFonts w:cs="Arial"/>
        </w:rPr>
        <w:t xml:space="preserve">, simply feedback from </w:t>
      </w:r>
      <w:r w:rsidR="00A56010" w:rsidRPr="000C284F">
        <w:rPr>
          <w:rFonts w:cs="Arial"/>
        </w:rPr>
        <w:t>purchasers</w:t>
      </w:r>
      <w:r w:rsidR="00E460C3" w:rsidRPr="000C284F">
        <w:rPr>
          <w:rFonts w:cs="Arial"/>
        </w:rPr>
        <w:t>.</w:t>
      </w:r>
      <w:r w:rsidR="003B10A9" w:rsidRPr="000C284F">
        <w:rPr>
          <w:rFonts w:cs="Arial"/>
        </w:rPr>
        <w:t xml:space="preserve"> </w:t>
      </w:r>
      <w:r w:rsidR="003B10A9" w:rsidRPr="003E6E49">
        <w:rPr>
          <w:rFonts w:cs="Arial"/>
        </w:rPr>
        <w:t xml:space="preserve">Some vendors have additionally provided a link to their website, which can be found on the </w:t>
      </w:r>
      <w:r w:rsidR="000C284F">
        <w:rPr>
          <w:rFonts w:cs="Arial"/>
        </w:rPr>
        <w:t>E</w:t>
      </w:r>
      <w:r w:rsidR="003B10A9" w:rsidRPr="003E6E49">
        <w:rPr>
          <w:rFonts w:cs="Arial"/>
        </w:rPr>
        <w:t>xcel awarded category document. These links direct you to their website</w:t>
      </w:r>
      <w:r w:rsidR="003B48E0">
        <w:rPr>
          <w:rFonts w:cs="Arial"/>
        </w:rPr>
        <w:t>,</w:t>
      </w:r>
      <w:r w:rsidR="003B10A9" w:rsidRPr="003E6E49">
        <w:rPr>
          <w:rFonts w:cs="Arial"/>
        </w:rPr>
        <w:t xml:space="preserve"> which contains additional information on their services and capabilities. </w:t>
      </w:r>
    </w:p>
    <w:p w14:paraId="05AE8943" w14:textId="7279BDC6" w:rsidR="00E460C3" w:rsidRPr="009E1E91" w:rsidRDefault="00E460C3" w:rsidP="00613E6E">
      <w:pPr>
        <w:pStyle w:val="ListParagraph"/>
        <w:ind w:left="360"/>
        <w:jc w:val="both"/>
        <w:rPr>
          <w:sz w:val="18"/>
          <w:szCs w:val="18"/>
        </w:rPr>
      </w:pPr>
    </w:p>
    <w:p w14:paraId="5D7FBD02" w14:textId="683382F3" w:rsidR="00E460C3" w:rsidRDefault="00A56010" w:rsidP="003E6E49">
      <w:pPr>
        <w:pStyle w:val="ListParagraph"/>
        <w:ind w:left="360"/>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bookmarkStart w:id="5" w:name="_Hlk185400675"/>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bookmarkEnd w:id="5"/>
      <w:r>
        <w:t>Purchasers</w:t>
      </w:r>
      <w:r w:rsidR="00E460C3">
        <w:t xml:space="preserve"> </w:t>
      </w:r>
      <w:proofErr w:type="gramStart"/>
      <w:r w:rsidR="2989FC9A">
        <w:t>are able</w:t>
      </w:r>
      <w:r w:rsidR="00873FD0">
        <w:t xml:space="preserve"> to</w:t>
      </w:r>
      <w:proofErr w:type="gramEnd"/>
      <w:r w:rsidR="00873FD0">
        <w:t xml:space="preserve">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0C284F">
      <w:pPr>
        <w:pStyle w:val="ListParagraph"/>
        <w:ind w:left="360"/>
      </w:pPr>
    </w:p>
    <w:p w14:paraId="67657708" w14:textId="77777777" w:rsidR="006D44D3" w:rsidRPr="00C4029F" w:rsidRDefault="006D44D3" w:rsidP="003E6E49">
      <w:pPr>
        <w:pStyle w:val="ListParagraph"/>
        <w:numPr>
          <w:ilvl w:val="0"/>
          <w:numId w:val="43"/>
        </w:numPr>
        <w:rPr>
          <w:b/>
        </w:rPr>
      </w:pPr>
      <w:r w:rsidRPr="00C4029F">
        <w:rPr>
          <w:b/>
        </w:rPr>
        <w:t>What does it mean if the contractor is the main award vs reserved award?</w:t>
      </w:r>
    </w:p>
    <w:p w14:paraId="7933052D" w14:textId="77777777" w:rsidR="00613E6E" w:rsidRDefault="006D44D3" w:rsidP="003E6E49">
      <w:pPr>
        <w:pStyle w:val="ListParagraph"/>
        <w:ind w:left="360"/>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3E6E49">
      <w:pPr>
        <w:pStyle w:val="ListParagraph"/>
        <w:ind w:left="360"/>
      </w:pPr>
      <w:r w:rsidRPr="006D44D3">
        <w:t xml:space="preserve">Reserved awards are set aside contracts awarded only to the next highest scored, responsive, responsible bidders certified as Washington Small and/or Veteran-owned </w:t>
      </w:r>
      <w:r w:rsidRPr="006D44D3">
        <w:lastRenderedPageBreak/>
        <w:t xml:space="preserve">businesses that participated in the competitive solicitation but did not achieve the highest overall scores to be designated as main awards. </w:t>
      </w:r>
    </w:p>
    <w:p w14:paraId="6973CF4F" w14:textId="77777777" w:rsidR="006D44D3" w:rsidRDefault="006D44D3" w:rsidP="003E6E49">
      <w:pPr>
        <w:pStyle w:val="ListParagraph"/>
        <w:ind w:left="360"/>
      </w:pPr>
      <w:r w:rsidRPr="006D44D3">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11DA2F7" w14:textId="5FCD338A" w:rsidR="0001320B" w:rsidRPr="00C4029F" w:rsidRDefault="0001320B" w:rsidP="003E6E49">
      <w:pPr>
        <w:pStyle w:val="ListParagraph"/>
        <w:numPr>
          <w:ilvl w:val="0"/>
          <w:numId w:val="43"/>
        </w:numPr>
        <w:rPr>
          <w:b/>
        </w:rPr>
      </w:pPr>
      <w:r w:rsidRPr="00C4029F">
        <w:rPr>
          <w:b/>
        </w:rPr>
        <w:t xml:space="preserve">Are there any standard templates that </w:t>
      </w:r>
      <w:r w:rsidR="00A56010" w:rsidRPr="00C4029F">
        <w:rPr>
          <w:b/>
        </w:rPr>
        <w:t>purchasers</w:t>
      </w:r>
      <w:r w:rsidRPr="00C4029F">
        <w:rPr>
          <w:b/>
        </w:rPr>
        <w:t xml:space="preserve"> can use to engage awarded </w:t>
      </w:r>
      <w:r w:rsidR="00A56010" w:rsidRPr="00C4029F">
        <w:rPr>
          <w:b/>
        </w:rPr>
        <w:t>c</w:t>
      </w:r>
      <w:r w:rsidRPr="00C4029F">
        <w:rPr>
          <w:b/>
        </w:rPr>
        <w:t>ontractors?</w:t>
      </w:r>
    </w:p>
    <w:p w14:paraId="2B8CE7C9" w14:textId="72DF7143" w:rsidR="00943106" w:rsidRDefault="00AB3B0A" w:rsidP="003E6E49">
      <w:pPr>
        <w:pStyle w:val="ListParagraph"/>
        <w:ind w:left="360"/>
      </w:pPr>
      <w:r>
        <w:t>Enterprise Services</w:t>
      </w:r>
      <w:r w:rsidR="00943106">
        <w:t xml:space="preserve"> has provided </w:t>
      </w:r>
      <w:r w:rsidR="003B1EAA">
        <w:t xml:space="preserve">a </w:t>
      </w:r>
      <w:r w:rsidR="003B48E0">
        <w:t>template Statement of Work (</w:t>
      </w:r>
      <w:r w:rsidR="003B1EAA">
        <w:t>SOW</w:t>
      </w:r>
      <w:r w:rsidR="003B48E0">
        <w:t>)</w:t>
      </w:r>
      <w:r w:rsidR="003B1EAA">
        <w:t xml:space="preserve"> as a resource for </w:t>
      </w:r>
      <w:r w:rsidR="00A56010">
        <w:t>purchasers</w:t>
      </w:r>
      <w:r w:rsidR="003B1EAA">
        <w:t xml:space="preserve"> to use</w:t>
      </w:r>
      <w:r w:rsidR="003B48E0">
        <w:t>, if needed,</w:t>
      </w:r>
      <w:r w:rsidR="003B1EAA">
        <w:t xml:space="preserve"> when </w:t>
      </w:r>
      <w:r w:rsidR="003B48E0">
        <w:t>sharing project information</w:t>
      </w:r>
      <w:r w:rsidR="005D5C34">
        <w:t xml:space="preserve"> with potential contractors.  </w:t>
      </w:r>
      <w:r w:rsidR="003B1EAA">
        <w:t xml:space="preserve"> The SOW </w:t>
      </w:r>
      <w:r w:rsidR="005D5C34">
        <w:t xml:space="preserve">template </w:t>
      </w:r>
      <w:r w:rsidR="003B1EAA">
        <w:t xml:space="preserve">is available in the </w:t>
      </w:r>
      <w:r w:rsidR="005D5C34">
        <w:t xml:space="preserve">resources </w:t>
      </w:r>
      <w:r w:rsidR="003B1EAA">
        <w:t xml:space="preserve">drop-down menu on the </w:t>
      </w:r>
      <w:r w:rsidR="005D5C34">
        <w:t>contract summary page</w:t>
      </w:r>
      <w:r w:rsidR="003B1EAA">
        <w:t>.</w:t>
      </w:r>
      <w:r w:rsidR="0082421C">
        <w:t xml:space="preserve"> </w:t>
      </w:r>
      <w:r w:rsidR="003709C7" w:rsidRPr="003709C7">
        <w:t xml:space="preserve">DES requests purchasers reach out to a minimum of three awarded contractors for quotes, at least one of which should be Veteran Owned or </w:t>
      </w:r>
      <w:r w:rsidR="005D5C34">
        <w:t xml:space="preserve">a </w:t>
      </w:r>
      <w:r w:rsidR="003709C7" w:rsidRPr="003709C7">
        <w:t>Washington Small Business.</w:t>
      </w:r>
    </w:p>
    <w:p w14:paraId="0BC0E61E" w14:textId="77777777" w:rsidR="000A103C" w:rsidRPr="00114333" w:rsidRDefault="000A103C" w:rsidP="003E6E49">
      <w:pPr>
        <w:rPr>
          <w:rFonts w:cs="Arial"/>
          <w:b/>
        </w:rPr>
      </w:pPr>
    </w:p>
    <w:p w14:paraId="413B0BFF" w14:textId="02D7D51A" w:rsidR="0054058F" w:rsidRPr="00C4029F" w:rsidRDefault="00F914ED" w:rsidP="003E6E49">
      <w:pPr>
        <w:pStyle w:val="ListParagraph"/>
        <w:numPr>
          <w:ilvl w:val="0"/>
          <w:numId w:val="43"/>
        </w:numPr>
        <w:rPr>
          <w:b/>
        </w:rPr>
      </w:pPr>
      <w:r w:rsidRPr="00C4029F">
        <w:rPr>
          <w:b/>
        </w:rPr>
        <w:t>Who can (or cannot) use this contract?</w:t>
      </w:r>
    </w:p>
    <w:p w14:paraId="126A254F" w14:textId="628E8E9F" w:rsidR="0054058F" w:rsidRDefault="0054058F" w:rsidP="000C284F">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3E6E49">
      <w:pPr>
        <w:pStyle w:val="ListParagraph"/>
        <w:ind w:left="360"/>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691DDFFB" w:rsidR="0054058F" w:rsidRPr="0054058F" w:rsidRDefault="0054058F" w:rsidP="003E6E49">
      <w:pPr>
        <w:pStyle w:val="ListParagraph"/>
        <w:ind w:left="360"/>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005D5C34">
        <w:rPr>
          <w:rFonts w:cs="Arial"/>
        </w:rPr>
        <w:t>c</w:t>
      </w:r>
      <w:r w:rsidR="005D5C34" w:rsidRPr="0054058F">
        <w:rPr>
          <w:rFonts w:cs="Arial"/>
        </w:rPr>
        <w:t xml:space="preserve">ommunity </w:t>
      </w:r>
      <w:r w:rsidRPr="0054058F">
        <w:rPr>
          <w:rFonts w:cs="Arial"/>
        </w:rPr>
        <w:t>colleges; and</w:t>
      </w:r>
      <w:r w:rsidR="009E3C82">
        <w:rPr>
          <w:rFonts w:cs="Arial"/>
        </w:rPr>
        <w:t xml:space="preserve"> </w:t>
      </w:r>
      <w:r w:rsidR="005D5C34">
        <w:rPr>
          <w:rFonts w:cs="Arial"/>
        </w:rPr>
        <w:t>t</w:t>
      </w:r>
      <w:r w:rsidR="005D5C34" w:rsidRPr="0054058F">
        <w:rPr>
          <w:rFonts w:cs="Arial"/>
        </w:rPr>
        <w:t xml:space="preserve">echnical </w:t>
      </w:r>
      <w:r w:rsidRPr="0054058F">
        <w:rPr>
          <w:rFonts w:cs="Arial"/>
        </w:rPr>
        <w:t>colleges.</w:t>
      </w:r>
    </w:p>
    <w:p w14:paraId="3BAA2C97" w14:textId="511FDEBC" w:rsidR="00873FD0" w:rsidRDefault="0054058F" w:rsidP="003E6E49">
      <w:pPr>
        <w:pStyle w:val="ListParagraph"/>
        <w:ind w:left="360"/>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5"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3E6E49">
      <w:pPr>
        <w:pStyle w:val="ListParagraph"/>
        <w:ind w:left="360"/>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6" w:history="1">
        <w:r w:rsidRPr="00114333">
          <w:rPr>
            <w:rStyle w:val="Hyperlink"/>
            <w:rFonts w:asciiTheme="majorHAnsi" w:hAnsiTheme="majorHAnsi" w:cstheme="majorHAnsi"/>
          </w:rPr>
          <w:t>CUA Listing website.</w:t>
        </w:r>
      </w:hyperlink>
    </w:p>
    <w:p w14:paraId="63574BB6" w14:textId="77777777" w:rsidR="00F26D20" w:rsidRPr="00496A56" w:rsidRDefault="00F26D20" w:rsidP="003E6E49">
      <w:pPr>
        <w:pStyle w:val="ListParagraph"/>
        <w:ind w:left="360"/>
        <w:rPr>
          <w:rFonts w:cs="Arial"/>
        </w:rPr>
      </w:pPr>
    </w:p>
    <w:p w14:paraId="40BC2A0B" w14:textId="77777777" w:rsidR="008D61A9" w:rsidRPr="00C4029F" w:rsidRDefault="00F914ED" w:rsidP="003E6E49">
      <w:pPr>
        <w:pStyle w:val="ListParagraph"/>
        <w:numPr>
          <w:ilvl w:val="0"/>
          <w:numId w:val="43"/>
        </w:numPr>
        <w:rPr>
          <w:b/>
        </w:rPr>
      </w:pPr>
      <w:bookmarkStart w:id="6" w:name="FAQ_6"/>
      <w:bookmarkEnd w:id="6"/>
      <w:r w:rsidRPr="00C4029F">
        <w:rPr>
          <w:b/>
        </w:rPr>
        <w:t>What is the pricing model?</w:t>
      </w:r>
    </w:p>
    <w:p w14:paraId="0DA5AFDB" w14:textId="11B0E6C1" w:rsidR="008D61A9" w:rsidRPr="00496A56" w:rsidRDefault="003B10A9" w:rsidP="003E6E49">
      <w:pPr>
        <w:pStyle w:val="ListParagraph"/>
        <w:keepNext/>
        <w:ind w:left="360"/>
        <w:rPr>
          <w:rFonts w:cs="Arial"/>
        </w:rPr>
      </w:pPr>
      <w:r>
        <w:rPr>
          <w:rFonts w:cs="Arial"/>
        </w:rPr>
        <w:t xml:space="preserve">Pricing is on </w:t>
      </w:r>
      <w:r w:rsidR="005D5C34">
        <w:rPr>
          <w:rFonts w:cs="Arial"/>
        </w:rPr>
        <w:t>a per</w:t>
      </w:r>
      <w:r>
        <w:rPr>
          <w:rFonts w:cs="Arial"/>
        </w:rPr>
        <w:t xml:space="preserve"> hou</w:t>
      </w:r>
      <w:r w:rsidR="005D5C34">
        <w:rPr>
          <w:rFonts w:cs="Arial"/>
        </w:rPr>
        <w:t>r</w:t>
      </w:r>
      <w:r>
        <w:rPr>
          <w:rFonts w:cs="Arial"/>
        </w:rPr>
        <w:t xml:space="preserve"> basis and can be found on the </w:t>
      </w:r>
      <w:hyperlink r:id="rId17" w:history="1">
        <w:r>
          <w:rPr>
            <w:rStyle w:val="Hyperlink"/>
          </w:rPr>
          <w:t>contract summary page</w:t>
        </w:r>
      </w:hyperlink>
      <w:r w:rsidR="005D5C34">
        <w:rPr>
          <w:rStyle w:val="Hyperlink"/>
        </w:rPr>
        <w:t>,</w:t>
      </w:r>
      <w:r>
        <w:t xml:space="preserve"> </w:t>
      </w:r>
      <w:r w:rsidR="003E6E49">
        <w:t xml:space="preserve">listed </w:t>
      </w:r>
      <w:r w:rsidRPr="003B10A9">
        <w:t xml:space="preserve">on the </w:t>
      </w:r>
      <w:r w:rsidR="00806D7F">
        <w:t>E</w:t>
      </w:r>
      <w:r w:rsidR="00806D7F" w:rsidRPr="003B10A9">
        <w:t xml:space="preserve">xcel </w:t>
      </w:r>
      <w:r w:rsidRPr="003B10A9">
        <w:t xml:space="preserve">awarded </w:t>
      </w:r>
      <w:r w:rsidR="005D5C34">
        <w:t xml:space="preserve">contractor </w:t>
      </w:r>
      <w:r w:rsidRPr="003B10A9">
        <w:t>document</w:t>
      </w:r>
      <w:r w:rsidR="005643F4">
        <w:t>, columns D-I</w:t>
      </w:r>
      <w:r w:rsidRPr="003B10A9">
        <w:t>.</w:t>
      </w:r>
      <w:r>
        <w:rPr>
          <w:rFonts w:cs="Arial"/>
        </w:rPr>
        <w:t xml:space="preserve"> </w:t>
      </w:r>
      <w:r w:rsidR="00806D7F">
        <w:rPr>
          <w:rFonts w:cs="Arial"/>
        </w:rPr>
        <w:t xml:space="preserve">Per the terms of the contract, rates will automatically increase 5 percent </w:t>
      </w:r>
      <w:r w:rsidR="00520B02">
        <w:rPr>
          <w:rFonts w:cs="Arial"/>
        </w:rPr>
        <w:t xml:space="preserve">on </w:t>
      </w:r>
      <w:r w:rsidR="005D5C34">
        <w:rPr>
          <w:rFonts w:cs="Arial"/>
        </w:rPr>
        <w:t xml:space="preserve">November </w:t>
      </w:r>
      <w:r w:rsidR="00520B02">
        <w:rPr>
          <w:rFonts w:cs="Arial"/>
        </w:rPr>
        <w:t>1</w:t>
      </w:r>
      <w:r w:rsidR="00520B02" w:rsidRPr="009E1E91">
        <w:rPr>
          <w:rFonts w:cs="Arial"/>
          <w:vertAlign w:val="superscript"/>
        </w:rPr>
        <w:t>st</w:t>
      </w:r>
      <w:r w:rsidR="00520B02">
        <w:rPr>
          <w:rFonts w:cs="Arial"/>
        </w:rPr>
        <w:t xml:space="preserve"> of each</w:t>
      </w:r>
      <w:r w:rsidR="00806D7F">
        <w:rPr>
          <w:rFonts w:cs="Arial"/>
        </w:rPr>
        <w:t xml:space="preserve"> year</w:t>
      </w:r>
      <w:r w:rsidR="00520B02">
        <w:rPr>
          <w:rFonts w:cs="Arial"/>
        </w:rPr>
        <w:t xml:space="preserve">.  Rates shown on the awarded contractor document are current and the maximum that contractors may charge purchasers. </w:t>
      </w:r>
      <w:r w:rsidR="00806D7F">
        <w:rPr>
          <w:rFonts w:cs="Arial"/>
        </w:rPr>
        <w:t xml:space="preserve">  </w:t>
      </w:r>
    </w:p>
    <w:p w14:paraId="28581F74" w14:textId="77777777" w:rsidR="008D61A9" w:rsidRPr="00496A56" w:rsidRDefault="008D61A9" w:rsidP="003E6E49">
      <w:pPr>
        <w:keepNext/>
        <w:rPr>
          <w:rFonts w:cs="Arial"/>
        </w:rPr>
      </w:pPr>
    </w:p>
    <w:p w14:paraId="699B11B8" w14:textId="29EDE00F" w:rsidR="00A56010" w:rsidRPr="00C4029F" w:rsidRDefault="00F914ED" w:rsidP="00A56010">
      <w:pPr>
        <w:pStyle w:val="ListParagraph"/>
        <w:numPr>
          <w:ilvl w:val="0"/>
          <w:numId w:val="43"/>
        </w:numPr>
        <w:jc w:val="both"/>
        <w:rPr>
          <w:b/>
        </w:rPr>
      </w:pPr>
      <w:bookmarkStart w:id="7" w:name="FAQ_7"/>
      <w:bookmarkEnd w:id="7"/>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tbl>
      <w:tblPr>
        <w:tblStyle w:val="TableGrid"/>
        <w:tblW w:w="0" w:type="auto"/>
        <w:tblInd w:w="805" w:type="dxa"/>
        <w:tblLook w:val="04A0" w:firstRow="1" w:lastRow="0" w:firstColumn="1" w:lastColumn="0" w:noHBand="0" w:noVBand="1"/>
      </w:tblPr>
      <w:tblGrid>
        <w:gridCol w:w="2790"/>
        <w:gridCol w:w="5310"/>
      </w:tblGrid>
      <w:tr w:rsidR="005643F4" w14:paraId="0B35BDCF" w14:textId="77777777" w:rsidTr="0075639D">
        <w:trPr>
          <w:cantSplit/>
          <w:trHeight w:val="440"/>
          <w:tblHeader/>
        </w:trPr>
        <w:tc>
          <w:tcPr>
            <w:tcW w:w="2790" w:type="dxa"/>
            <w:shd w:val="clear" w:color="auto" w:fill="DBE5F1" w:themeFill="accent1" w:themeFillTint="33"/>
            <w:vAlign w:val="center"/>
          </w:tcPr>
          <w:p w14:paraId="797036D2" w14:textId="77777777" w:rsidR="005643F4" w:rsidRPr="0052152F" w:rsidRDefault="005643F4" w:rsidP="003E6E49">
            <w:pPr>
              <w:spacing w:before="60" w:after="60"/>
              <w:rPr>
                <w:smallCaps/>
              </w:rPr>
            </w:pPr>
            <w:r w:rsidRPr="0052152F">
              <w:rPr>
                <w:smallCaps/>
              </w:rPr>
              <w:t>Performance Metric</w:t>
            </w:r>
          </w:p>
        </w:tc>
        <w:tc>
          <w:tcPr>
            <w:tcW w:w="5310" w:type="dxa"/>
            <w:shd w:val="clear" w:color="auto" w:fill="DBE5F1" w:themeFill="accent1" w:themeFillTint="33"/>
            <w:vAlign w:val="center"/>
          </w:tcPr>
          <w:p w14:paraId="60F3FCCA" w14:textId="77777777" w:rsidR="005643F4" w:rsidRPr="003E6E49" w:rsidRDefault="005643F4" w:rsidP="003E6E49">
            <w:pPr>
              <w:spacing w:before="60" w:after="60"/>
            </w:pPr>
            <w:r w:rsidRPr="003E6E49">
              <w:t>Performance Requirement for Annual Contract Renewal</w:t>
            </w:r>
          </w:p>
        </w:tc>
      </w:tr>
      <w:tr w:rsidR="005643F4" w14:paraId="79E6CDFF" w14:textId="77777777" w:rsidTr="0075639D">
        <w:trPr>
          <w:cantSplit/>
        </w:trPr>
        <w:tc>
          <w:tcPr>
            <w:tcW w:w="2790" w:type="dxa"/>
            <w:vAlign w:val="center"/>
          </w:tcPr>
          <w:p w14:paraId="27BF5B4F" w14:textId="77777777" w:rsidR="005643F4" w:rsidRPr="00A02980" w:rsidRDefault="005643F4" w:rsidP="003E6E49">
            <w:pPr>
              <w:spacing w:before="60" w:after="60"/>
              <w:rPr>
                <w:highlight w:val="yellow"/>
              </w:rPr>
            </w:pPr>
            <w:r>
              <w:t>Contractor Representations and Warranties:</w:t>
            </w:r>
          </w:p>
        </w:tc>
        <w:tc>
          <w:tcPr>
            <w:tcW w:w="5310" w:type="dxa"/>
          </w:tcPr>
          <w:p w14:paraId="731EA682" w14:textId="77777777" w:rsidR="005643F4" w:rsidRPr="00A02980" w:rsidRDefault="005643F4" w:rsidP="003E6E49">
            <w:pPr>
              <w:spacing w:before="60" w:after="60"/>
              <w:rPr>
                <w:highlight w:val="yellow"/>
              </w:rPr>
            </w:pPr>
            <w:r>
              <w:t xml:space="preserve">Maintain 100% compliance with all representations and warranties as listed in Section 4 of this Contract. </w:t>
            </w:r>
          </w:p>
        </w:tc>
      </w:tr>
      <w:tr w:rsidR="005643F4" w14:paraId="7BE916FC" w14:textId="77777777" w:rsidTr="0075639D">
        <w:trPr>
          <w:cantSplit/>
        </w:trPr>
        <w:tc>
          <w:tcPr>
            <w:tcW w:w="2790" w:type="dxa"/>
            <w:vAlign w:val="center"/>
          </w:tcPr>
          <w:p w14:paraId="2679AABF" w14:textId="77777777" w:rsidR="005643F4" w:rsidRDefault="005643F4" w:rsidP="003E6E49">
            <w:pPr>
              <w:spacing w:before="60" w:after="60"/>
            </w:pPr>
            <w:r>
              <w:t>Insurance Endorsements:</w:t>
            </w:r>
          </w:p>
        </w:tc>
        <w:tc>
          <w:tcPr>
            <w:tcW w:w="5310" w:type="dxa"/>
          </w:tcPr>
          <w:p w14:paraId="249825A6" w14:textId="77777777" w:rsidR="005643F4" w:rsidRDefault="005643F4" w:rsidP="003E6E49">
            <w:pPr>
              <w:spacing w:before="60" w:after="60"/>
            </w:pPr>
            <w:r>
              <w:t xml:space="preserve">Timely provide to Enterprise Services at the designated address, without exception, annual insurance endorsements for the insurance coverages required by this Contract.  </w:t>
            </w:r>
            <w:r w:rsidRPr="00BF2BF6">
              <w:rPr>
                <w:i/>
              </w:rPr>
              <w:t>See</w:t>
            </w:r>
            <w:r>
              <w:t xml:space="preserve"> </w:t>
            </w:r>
            <w:r w:rsidRPr="00BF2BF6">
              <w:rPr>
                <w:i/>
              </w:rPr>
              <w:t>Exhibit C – Insurance Requirements</w:t>
            </w:r>
            <w:r>
              <w:rPr>
                <w:i/>
              </w:rPr>
              <w:t>.</w:t>
            </w:r>
          </w:p>
        </w:tc>
      </w:tr>
      <w:tr w:rsidR="005643F4" w14:paraId="0070868A" w14:textId="77777777" w:rsidTr="0075639D">
        <w:trPr>
          <w:cantSplit/>
        </w:trPr>
        <w:tc>
          <w:tcPr>
            <w:tcW w:w="2790" w:type="dxa"/>
            <w:vAlign w:val="center"/>
          </w:tcPr>
          <w:p w14:paraId="3823BEE7" w14:textId="77777777" w:rsidR="005643F4" w:rsidRDefault="005643F4" w:rsidP="003E6E49">
            <w:pPr>
              <w:spacing w:before="60" w:after="60"/>
            </w:pPr>
            <w:r>
              <w:t>Vendor Management Fee:</w:t>
            </w:r>
          </w:p>
        </w:tc>
        <w:tc>
          <w:tcPr>
            <w:tcW w:w="5310" w:type="dxa"/>
          </w:tcPr>
          <w:p w14:paraId="4E5F7969" w14:textId="77777777" w:rsidR="005643F4" w:rsidRDefault="005643F4" w:rsidP="003E6E49">
            <w:pPr>
              <w:spacing w:before="60" w:after="60"/>
              <w:rPr>
                <w:rFonts w:cstheme="minorHAnsi"/>
                <w:i/>
              </w:rPr>
            </w:pPr>
            <w:r>
              <w:t xml:space="preserve">Timely remit to Enterprise Service, with no less than a 75% on time rate over the contract term, the applicable Vendor Management Fee (VMF). </w:t>
            </w:r>
            <w:r w:rsidRPr="00EA1D1E">
              <w:rPr>
                <w:i/>
              </w:rPr>
              <w:t xml:space="preserve">See </w:t>
            </w:r>
            <w:r>
              <w:rPr>
                <w:rFonts w:cstheme="minorHAnsi"/>
                <w:i/>
              </w:rPr>
              <w:t>§ 12</w:t>
            </w:r>
            <w:r w:rsidRPr="00EA1D1E">
              <w:rPr>
                <w:rFonts w:cstheme="minorHAnsi"/>
                <w:i/>
              </w:rPr>
              <w:t>.</w:t>
            </w:r>
            <w:r>
              <w:rPr>
                <w:rFonts w:cstheme="minorHAnsi"/>
                <w:i/>
              </w:rPr>
              <w:t>2</w:t>
            </w:r>
            <w:r w:rsidRPr="00EA1D1E">
              <w:rPr>
                <w:rFonts w:cstheme="minorHAnsi"/>
                <w:i/>
              </w:rPr>
              <w:t xml:space="preserve"> </w:t>
            </w:r>
            <w:r>
              <w:rPr>
                <w:rFonts w:cstheme="minorHAnsi"/>
                <w:i/>
              </w:rPr>
              <w:t>Vendor Management Fee.</w:t>
            </w:r>
          </w:p>
          <w:p w14:paraId="3FC194A6" w14:textId="77777777" w:rsidR="005643F4" w:rsidRDefault="005643F4" w:rsidP="003E6E49">
            <w:pPr>
              <w:spacing w:after="60"/>
            </w:pPr>
            <w:r w:rsidRPr="002B3AC1">
              <w:rPr>
                <w:i/>
              </w:rPr>
              <w:t>Note</w:t>
            </w:r>
            <w:r>
              <w:t>:  Contractor must pay the VMF within thirty (30) days of invoice from Enterprise Services.  If Contractor is delinquent in timely paying the VMF for two (2) or more quarters within the first six (6) quarters of the Contract term, Contractor will not be eligible for a performance-based extension.</w:t>
            </w:r>
          </w:p>
        </w:tc>
      </w:tr>
      <w:tr w:rsidR="005643F4" w14:paraId="7627F32F" w14:textId="77777777" w:rsidTr="0075639D">
        <w:trPr>
          <w:cantSplit/>
        </w:trPr>
        <w:tc>
          <w:tcPr>
            <w:tcW w:w="2790" w:type="dxa"/>
            <w:vAlign w:val="center"/>
          </w:tcPr>
          <w:p w14:paraId="77E614A0" w14:textId="77777777" w:rsidR="005643F4" w:rsidRDefault="005643F4" w:rsidP="003E6E49">
            <w:pPr>
              <w:spacing w:before="60" w:after="60"/>
            </w:pPr>
            <w:r>
              <w:t>Contract</w:t>
            </w:r>
            <w:r>
              <w:br/>
              <w:t>Sales Reports:</w:t>
            </w:r>
          </w:p>
        </w:tc>
        <w:tc>
          <w:tcPr>
            <w:tcW w:w="5310" w:type="dxa"/>
          </w:tcPr>
          <w:p w14:paraId="50B23CAE" w14:textId="77777777" w:rsidR="005643F4" w:rsidRDefault="005643F4" w:rsidP="003E6E49">
            <w:pPr>
              <w:spacing w:before="60" w:after="60"/>
              <w:ind w:left="23" w:hanging="23"/>
              <w:rPr>
                <w:rFonts w:cstheme="minorHAnsi"/>
                <w:i/>
              </w:rPr>
            </w:pPr>
            <w:r>
              <w:t>Timely provide to Enterprise Services, with no less than a 75% on time rate over the contract term, the required</w:t>
            </w:r>
            <w:r w:rsidRPr="007B3579">
              <w:t xml:space="preserve"> Contract quarterly</w:t>
            </w:r>
            <w:r>
              <w:t xml:space="preserve"> sales reports. </w:t>
            </w:r>
            <w:r w:rsidRPr="00EA1D1E">
              <w:rPr>
                <w:i/>
              </w:rPr>
              <w:t xml:space="preserve">See </w:t>
            </w:r>
            <w:r>
              <w:rPr>
                <w:rFonts w:cstheme="minorHAnsi"/>
                <w:i/>
              </w:rPr>
              <w:t>Section 12.1, Contractor Sales Reporting.</w:t>
            </w:r>
          </w:p>
          <w:p w14:paraId="60CEBCA5" w14:textId="77777777" w:rsidR="005643F4" w:rsidRDefault="005643F4" w:rsidP="003E6E49">
            <w:pPr>
              <w:spacing w:before="60" w:after="60"/>
              <w:ind w:left="23"/>
            </w:pPr>
            <w:r w:rsidRPr="002B3AC1">
              <w:rPr>
                <w:i/>
              </w:rPr>
              <w:t>Note</w:t>
            </w:r>
            <w:r>
              <w:t>:  Contractor must provide the quarterly sales reports to Enterprise Services within thirty (30) days of the quarter’s end.  If Contractor is delinquent in providing the quarterly sales reports for two (2) or more quarters within the first six (6) quarters of the Contract term, Contractor will not be eligible for a performance-based extension.</w:t>
            </w:r>
          </w:p>
        </w:tc>
      </w:tr>
      <w:tr w:rsidR="005643F4" w14:paraId="73D8DEF7" w14:textId="77777777" w:rsidTr="0075639D">
        <w:trPr>
          <w:cantSplit/>
        </w:trPr>
        <w:tc>
          <w:tcPr>
            <w:tcW w:w="2790" w:type="dxa"/>
            <w:vAlign w:val="center"/>
          </w:tcPr>
          <w:p w14:paraId="75A94BD4" w14:textId="77777777" w:rsidR="005643F4" w:rsidRDefault="005643F4" w:rsidP="003E6E49">
            <w:pPr>
              <w:spacing w:before="60" w:after="60"/>
            </w:pPr>
            <w:r>
              <w:t>Contract</w:t>
            </w:r>
            <w:r>
              <w:br/>
              <w:t>Sales:</w:t>
            </w:r>
          </w:p>
        </w:tc>
        <w:tc>
          <w:tcPr>
            <w:tcW w:w="5310" w:type="dxa"/>
          </w:tcPr>
          <w:p w14:paraId="7ACF0AA9" w14:textId="77777777" w:rsidR="005643F4" w:rsidRDefault="005643F4" w:rsidP="003E6E49">
            <w:pPr>
              <w:spacing w:before="60" w:after="60"/>
              <w:ind w:left="23" w:hanging="23"/>
            </w:pPr>
            <w:proofErr w:type="gramStart"/>
            <w:r w:rsidRPr="00BF474D">
              <w:t>In order to</w:t>
            </w:r>
            <w:proofErr w:type="gramEnd"/>
            <w:r w:rsidRPr="00BF474D">
              <w:t xml:space="preserve"> be granted an annual contract renewal, Contractor must have sales reported </w:t>
            </w:r>
            <w:r>
              <w:t xml:space="preserve">in at least 1 </w:t>
            </w:r>
            <w:r w:rsidRPr="00BF474D">
              <w:t xml:space="preserve">of the </w:t>
            </w:r>
            <w:r>
              <w:t>first 3</w:t>
            </w:r>
            <w:r w:rsidRPr="00BF474D">
              <w:t xml:space="preserve"> quarters of the prior year.</w:t>
            </w:r>
            <w:r>
              <w:t xml:space="preserve"> Enterprise Services will also accept evidence of customer leads, quotes and demonstrated proof of an ongoing effort to obtain contractual work.</w:t>
            </w:r>
          </w:p>
        </w:tc>
      </w:tr>
    </w:tbl>
    <w:p w14:paraId="749ABFD9" w14:textId="77777777" w:rsidR="008D61A9" w:rsidRPr="00496A56" w:rsidRDefault="008D61A9" w:rsidP="008D61A9">
      <w:pPr>
        <w:ind w:left="360"/>
        <w:jc w:val="both"/>
        <w:rPr>
          <w:rFonts w:cs="Arial"/>
        </w:rPr>
      </w:pPr>
    </w:p>
    <w:p w14:paraId="6FBED693" w14:textId="38F60F56" w:rsidR="008D61A9" w:rsidRPr="00C4029F" w:rsidRDefault="00F914ED" w:rsidP="003E6E49">
      <w:pPr>
        <w:pStyle w:val="ListParagraph"/>
        <w:numPr>
          <w:ilvl w:val="0"/>
          <w:numId w:val="43"/>
        </w:numPr>
        <w:rPr>
          <w:b/>
        </w:rPr>
      </w:pPr>
      <w:bookmarkStart w:id="8" w:name="FAQ_8"/>
      <w:bookmarkEnd w:id="8"/>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3E6E49">
      <w:pPr>
        <w:ind w:left="360"/>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8"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3E6E49">
      <w:pPr>
        <w:rPr>
          <w:rFonts w:cs="Arial"/>
        </w:rPr>
      </w:pPr>
    </w:p>
    <w:p w14:paraId="31B4802F" w14:textId="4B0265C7" w:rsidR="008D61A9" w:rsidRPr="00C4029F" w:rsidRDefault="00F914ED" w:rsidP="003E6E49">
      <w:pPr>
        <w:pStyle w:val="ListParagraph"/>
        <w:numPr>
          <w:ilvl w:val="0"/>
          <w:numId w:val="43"/>
        </w:numPr>
        <w:rPr>
          <w:b/>
        </w:rPr>
      </w:pPr>
      <w:bookmarkStart w:id="9" w:name="FAQ_9"/>
      <w:bookmarkEnd w:id="9"/>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003E6E49">
      <w:pPr>
        <w:pStyle w:val="ListParagraph"/>
        <w:ind w:left="360"/>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3E6E49">
      <w:pPr>
        <w:pStyle w:val="ListParagraph"/>
        <w:ind w:left="360"/>
        <w:rPr>
          <w:rFonts w:cs="Arial"/>
          <w:b/>
        </w:rPr>
      </w:pPr>
    </w:p>
    <w:p w14:paraId="579DBD6C" w14:textId="5263A559" w:rsidR="008D61A9" w:rsidRPr="006355B8" w:rsidRDefault="00193BF4" w:rsidP="003E6E49">
      <w:pPr>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3E6E49">
      <w:pPr>
        <w:ind w:left="360"/>
        <w:rPr>
          <w:rFonts w:cs="Arial"/>
          <w:b/>
        </w:rPr>
      </w:pPr>
    </w:p>
    <w:p w14:paraId="085F7D0A" w14:textId="77777777" w:rsidR="008D61A9" w:rsidRPr="00C4029F" w:rsidRDefault="00F914ED" w:rsidP="003E6E49">
      <w:pPr>
        <w:pStyle w:val="ListParagraph"/>
        <w:numPr>
          <w:ilvl w:val="0"/>
          <w:numId w:val="43"/>
        </w:numPr>
        <w:rPr>
          <w:b/>
        </w:rPr>
      </w:pPr>
      <w:bookmarkStart w:id="10" w:name="FAQ_10"/>
      <w:bookmarkEnd w:id="10"/>
      <w:r w:rsidRPr="00C4029F">
        <w:rPr>
          <w:b/>
        </w:rPr>
        <w:t>When can I get added to the contract?</w:t>
      </w:r>
    </w:p>
    <w:p w14:paraId="2F6F0B7F" w14:textId="5C3EE0CE" w:rsidR="002A27A1" w:rsidRPr="00496A56" w:rsidRDefault="21E46551" w:rsidP="003E6E49">
      <w:pPr>
        <w:pStyle w:val="ListParagraph"/>
        <w:ind w:left="360"/>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9">
        <w:r w:rsidRPr="7D94BEE5">
          <w:rPr>
            <w:rStyle w:val="Hyperlink"/>
          </w:rPr>
          <w:t>online solicitation system WEBS.</w:t>
        </w:r>
      </w:hyperlink>
      <w:r>
        <w:t xml:space="preserve"> </w:t>
      </w:r>
      <w:r w:rsidR="002A3477">
        <w:t>Enterprise Services</w:t>
      </w:r>
      <w:r>
        <w:t xml:space="preserve"> has a </w:t>
      </w:r>
      <w:hyperlink r:id="rId20">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21">
        <w:r w:rsidRPr="7D94BEE5">
          <w:rPr>
            <w:rStyle w:val="Hyperlink"/>
          </w:rPr>
          <w:t>WEBS customer service</w:t>
        </w:r>
      </w:hyperlink>
      <w:r>
        <w:t>, (360) 902-7400.</w:t>
      </w:r>
    </w:p>
    <w:p w14:paraId="5218CD32" w14:textId="752A701E" w:rsidR="002A27A1" w:rsidRPr="00496A56" w:rsidRDefault="005E7119" w:rsidP="003E6E49">
      <w:pPr>
        <w:pStyle w:val="ListParagraph"/>
        <w:ind w:left="360"/>
      </w:pPr>
      <w:r>
        <w:t>Enterprise Services</w:t>
      </w:r>
      <w:r w:rsidR="21E46551">
        <w:t xml:space="preserve"> also has information on </w:t>
      </w:r>
      <w:hyperlink r:id="rId22">
        <w:r w:rsidR="21E46551" w:rsidRPr="7D94BEE5">
          <w:rPr>
            <w:rStyle w:val="Hyperlink"/>
          </w:rPr>
          <w:t>doing business with the state</w:t>
        </w:r>
      </w:hyperlink>
      <w:r w:rsidR="21E46551">
        <w:t xml:space="preserve"> for you to review. There is also a page on </w:t>
      </w:r>
      <w:hyperlink r:id="rId23">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462FA63A" w14:textId="77777777" w:rsidR="00500948" w:rsidRPr="009E1E91" w:rsidRDefault="00500948" w:rsidP="003E6E49">
      <w:pPr>
        <w:pStyle w:val="ListParagraph"/>
        <w:ind w:left="360"/>
        <w:rPr>
          <w:rFonts w:cs="Arial"/>
          <w:b/>
          <w:sz w:val="20"/>
          <w:szCs w:val="20"/>
        </w:rPr>
      </w:pPr>
      <w:bookmarkStart w:id="11" w:name="FAQ_11"/>
      <w:bookmarkEnd w:id="11"/>
    </w:p>
    <w:p w14:paraId="05BC725F" w14:textId="4BFAC121" w:rsidR="008D61A9" w:rsidRPr="00C4029F" w:rsidRDefault="00F914ED" w:rsidP="003E6E49">
      <w:pPr>
        <w:pStyle w:val="ListParagraph"/>
        <w:numPr>
          <w:ilvl w:val="0"/>
          <w:numId w:val="43"/>
        </w:numPr>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4C287AAA" w:rsidR="008D61A9" w:rsidRPr="00496A56" w:rsidRDefault="00496A56" w:rsidP="003E6E49">
      <w:pPr>
        <w:ind w:left="360"/>
        <w:rPr>
          <w:rFonts w:cs="Arial"/>
        </w:rPr>
      </w:pPr>
      <w:r w:rsidRPr="00496A56">
        <w:rPr>
          <w:rFonts w:cs="Arial"/>
        </w:rPr>
        <w:t xml:space="preserve">Please </w:t>
      </w:r>
      <w:r w:rsidR="00A00C50">
        <w:rPr>
          <w:rFonts w:cs="Arial"/>
        </w:rPr>
        <w:t xml:space="preserve">email the </w:t>
      </w:r>
      <w:hyperlink r:id="rId24" w:history="1">
        <w:r w:rsidR="00A00C50" w:rsidRPr="00A00C50">
          <w:rPr>
            <w:rStyle w:val="Hyperlink"/>
            <w:rFonts w:cs="Arial"/>
          </w:rPr>
          <w:t>ITPS</w:t>
        </w:r>
      </w:hyperlink>
      <w:r w:rsidR="00A00C50">
        <w:rPr>
          <w:rFonts w:cs="Arial"/>
        </w:rPr>
        <w:t xml:space="preserve"> box or </w:t>
      </w:r>
      <w:r w:rsidRPr="00496A56">
        <w:rPr>
          <w:rFonts w:cs="Arial"/>
        </w:rPr>
        <w:t xml:space="preserve">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3E6E49">
      <w:pPr>
        <w:ind w:left="360"/>
        <w:rPr>
          <w:rFonts w:cs="Arial"/>
        </w:rPr>
      </w:pPr>
    </w:p>
    <w:p w14:paraId="616F95F8" w14:textId="77777777" w:rsidR="008D61A9" w:rsidRPr="00C4029F" w:rsidRDefault="00F914ED" w:rsidP="003E6E49">
      <w:pPr>
        <w:pStyle w:val="ListParagraph"/>
        <w:numPr>
          <w:ilvl w:val="0"/>
          <w:numId w:val="43"/>
        </w:numPr>
        <w:rPr>
          <w:b/>
        </w:rPr>
      </w:pPr>
      <w:bookmarkStart w:id="12" w:name="FAQ_12"/>
      <w:bookmarkEnd w:id="12"/>
      <w:r w:rsidRPr="00C4029F">
        <w:rPr>
          <w:b/>
        </w:rPr>
        <w:t>When are quarterly sales reporting due?</w:t>
      </w:r>
    </w:p>
    <w:p w14:paraId="0B66223E" w14:textId="5B5C29D5" w:rsidR="00496A56" w:rsidRPr="00496A56" w:rsidRDefault="00496A56" w:rsidP="003E6E49">
      <w:pPr>
        <w:ind w:left="360"/>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3E6E49">
      <w:pPr>
        <w:ind w:left="360"/>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5" w:history="1">
        <w:r w:rsidRPr="00A375E7">
          <w:rPr>
            <w:rStyle w:val="Hyperlink"/>
            <w:rFonts w:cs="Arial"/>
          </w:rPr>
          <w:t>reporting instructions</w:t>
        </w:r>
      </w:hyperlink>
      <w:r w:rsidR="00BD0524">
        <w:rPr>
          <w:rFonts w:cs="Arial"/>
        </w:rPr>
        <w:t>.</w:t>
      </w:r>
    </w:p>
    <w:p w14:paraId="77C333D0" w14:textId="77777777" w:rsidR="00A375E7" w:rsidRPr="00496A56" w:rsidRDefault="00A375E7" w:rsidP="003E6E49">
      <w:pPr>
        <w:ind w:left="360"/>
        <w:rPr>
          <w:rFonts w:cs="Arial"/>
        </w:rPr>
      </w:pPr>
    </w:p>
    <w:p w14:paraId="4EF5A4BF" w14:textId="3F9B7A82" w:rsidR="008D61A9" w:rsidRPr="00C4029F" w:rsidRDefault="00F914ED" w:rsidP="003E6E49">
      <w:pPr>
        <w:pStyle w:val="ListParagraph"/>
        <w:numPr>
          <w:ilvl w:val="0"/>
          <w:numId w:val="43"/>
        </w:numPr>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3E6E49">
      <w:pPr>
        <w:ind w:left="360"/>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3E6E49">
      <w:pPr>
        <w:ind w:left="360"/>
        <w:rPr>
          <w:rFonts w:cs="Arial"/>
        </w:rPr>
      </w:pPr>
    </w:p>
    <w:p w14:paraId="2DFF485C" w14:textId="3CC03013" w:rsidR="008D61A9" w:rsidRPr="00C4029F" w:rsidRDefault="00F914ED" w:rsidP="003E6E49">
      <w:pPr>
        <w:pStyle w:val="ListParagraph"/>
        <w:numPr>
          <w:ilvl w:val="0"/>
          <w:numId w:val="43"/>
        </w:numPr>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3F503655" w:rsidR="008D61A9" w:rsidRDefault="00A00C50" w:rsidP="003E6E49">
      <w:pPr>
        <w:ind w:left="360"/>
        <w:rPr>
          <w:rFonts w:cs="Arial"/>
        </w:rPr>
      </w:pPr>
      <w:r>
        <w:rPr>
          <w:rFonts w:cs="Arial"/>
        </w:rPr>
        <w:t xml:space="preserve">For questions or updates, please email the </w:t>
      </w:r>
      <w:hyperlink r:id="rId26" w:history="1">
        <w:r w:rsidRPr="00A00C50">
          <w:rPr>
            <w:rStyle w:val="Hyperlink"/>
            <w:rFonts w:cs="Arial"/>
          </w:rPr>
          <w:t>ITPS</w:t>
        </w:r>
      </w:hyperlink>
      <w:r>
        <w:rPr>
          <w:rFonts w:cs="Arial"/>
        </w:rPr>
        <w:t xml:space="preserve"> box.</w:t>
      </w:r>
    </w:p>
    <w:p w14:paraId="30A0A029" w14:textId="77777777" w:rsidR="0037078A" w:rsidRDefault="0037078A" w:rsidP="003E6E49">
      <w:pPr>
        <w:ind w:left="360"/>
        <w:rPr>
          <w:rFonts w:cs="Arial"/>
        </w:rPr>
      </w:pPr>
    </w:p>
    <w:p w14:paraId="66F8445B" w14:textId="76825017" w:rsidR="0037078A" w:rsidRPr="0037078A" w:rsidRDefault="0037078A" w:rsidP="0037078A">
      <w:pPr>
        <w:pStyle w:val="ListParagraph"/>
        <w:numPr>
          <w:ilvl w:val="0"/>
          <w:numId w:val="43"/>
        </w:numPr>
        <w:rPr>
          <w:rFonts w:cs="Arial"/>
        </w:rPr>
      </w:pPr>
      <w:r>
        <w:rPr>
          <w:rFonts w:cs="Arial"/>
          <w:b/>
          <w:bCs/>
        </w:rPr>
        <w:t>Is the use of subcontractors permitted?</w:t>
      </w:r>
    </w:p>
    <w:p w14:paraId="6032BDDF" w14:textId="607F0F0B" w:rsidR="0037078A" w:rsidRPr="0037078A" w:rsidRDefault="0037078A" w:rsidP="0037078A">
      <w:pPr>
        <w:pStyle w:val="ListParagraph"/>
        <w:ind w:left="360"/>
        <w:rPr>
          <w:rFonts w:cs="Arial"/>
        </w:rPr>
      </w:pPr>
      <w:r w:rsidRPr="0037078A">
        <w:rPr>
          <w:rFonts w:cs="Arial"/>
        </w:rPr>
        <w:t>We do allow awarded contractors the ability to use subcontractors if they submitted an Exhibit E - Diverse Business Inclusion Plan with their bid. The plan is for contractors to list their intentions in utilizing subcontractors, and how they will include small, diverse and veteran owned firms.</w:t>
      </w:r>
    </w:p>
    <w:p w14:paraId="3112AE9D" w14:textId="77777777" w:rsidR="008D61A9" w:rsidRPr="00496A56" w:rsidRDefault="008D61A9" w:rsidP="003E6E49">
      <w:pPr>
        <w:ind w:left="360"/>
        <w:rPr>
          <w:rFonts w:cs="Arial"/>
        </w:rPr>
      </w:pPr>
    </w:p>
    <w:p w14:paraId="101C836B" w14:textId="72779EBF" w:rsidR="002C38A8" w:rsidRPr="00C4029F" w:rsidRDefault="00F914ED" w:rsidP="003E6E49">
      <w:pPr>
        <w:pStyle w:val="ListParagraph"/>
        <w:numPr>
          <w:ilvl w:val="0"/>
          <w:numId w:val="43"/>
        </w:numPr>
        <w:rPr>
          <w:b/>
        </w:rPr>
      </w:pPr>
      <w:bookmarkStart w:id="16" w:name="FAQ_15"/>
      <w:bookmarkEnd w:id="16"/>
      <w:r w:rsidRPr="00C4029F">
        <w:rPr>
          <w:b/>
        </w:rPr>
        <w:t>How do I check for authorized purchasers?</w:t>
      </w:r>
    </w:p>
    <w:p w14:paraId="245B001D" w14:textId="52201B72" w:rsidR="0037078A" w:rsidRPr="0037078A" w:rsidRDefault="00496A56" w:rsidP="0037078A">
      <w:pPr>
        <w:ind w:left="360"/>
      </w:pPr>
      <w:r w:rsidRPr="00496A56">
        <w:t xml:space="preserve">Please check the </w:t>
      </w:r>
      <w:hyperlink r:id="rId27"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8" w:history="1">
        <w:hyperlink r:id="rId29"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81358">
      <w:type w:val="continuous"/>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660B87E5" w:rsidR="002D44CF" w:rsidRPr="0074484A" w:rsidRDefault="002D44CF" w:rsidP="0030407E">
    <w:pPr>
      <w:pStyle w:val="Footer"/>
      <w:rPr>
        <w:sz w:val="20"/>
      </w:rPr>
    </w:pPr>
    <w:r>
      <w:rPr>
        <w:sz w:val="20"/>
      </w:rPr>
      <w:t xml:space="preserve">Contract No. </w:t>
    </w:r>
    <w:r w:rsidR="005643F4">
      <w:rPr>
        <w:sz w:val="20"/>
      </w:rPr>
      <w:t>14822</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957338144" name="Picture 95733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055D3"/>
    <w:multiLevelType w:val="hybridMultilevel"/>
    <w:tmpl w:val="AD869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604F14"/>
    <w:multiLevelType w:val="hybridMultilevel"/>
    <w:tmpl w:val="FAD4496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1C7CF2"/>
    <w:multiLevelType w:val="hybridMultilevel"/>
    <w:tmpl w:val="44F49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1"/>
  </w:num>
  <w:num w:numId="2" w16cid:durableId="1547793942">
    <w:abstractNumId w:val="33"/>
  </w:num>
  <w:num w:numId="3" w16cid:durableId="892690962">
    <w:abstractNumId w:val="42"/>
  </w:num>
  <w:num w:numId="4" w16cid:durableId="522597413">
    <w:abstractNumId w:val="9"/>
  </w:num>
  <w:num w:numId="5" w16cid:durableId="1847093035">
    <w:abstractNumId w:val="2"/>
  </w:num>
  <w:num w:numId="6" w16cid:durableId="1261912799">
    <w:abstractNumId w:val="22"/>
  </w:num>
  <w:num w:numId="7" w16cid:durableId="884827346">
    <w:abstractNumId w:val="41"/>
  </w:num>
  <w:num w:numId="8" w16cid:durableId="1664746494">
    <w:abstractNumId w:val="16"/>
  </w:num>
  <w:num w:numId="9" w16cid:durableId="1734311143">
    <w:abstractNumId w:val="25"/>
  </w:num>
  <w:num w:numId="10" w16cid:durableId="1634169363">
    <w:abstractNumId w:val="31"/>
  </w:num>
  <w:num w:numId="11" w16cid:durableId="390269379">
    <w:abstractNumId w:val="36"/>
  </w:num>
  <w:num w:numId="12" w16cid:durableId="2100786381">
    <w:abstractNumId w:val="48"/>
  </w:num>
  <w:num w:numId="13" w16cid:durableId="9766823">
    <w:abstractNumId w:val="28"/>
  </w:num>
  <w:num w:numId="14" w16cid:durableId="913665028">
    <w:abstractNumId w:val="26"/>
  </w:num>
  <w:num w:numId="15" w16cid:durableId="980111232">
    <w:abstractNumId w:val="7"/>
  </w:num>
  <w:num w:numId="16" w16cid:durableId="96484320">
    <w:abstractNumId w:val="6"/>
  </w:num>
  <w:num w:numId="17" w16cid:durableId="905533885">
    <w:abstractNumId w:val="3"/>
  </w:num>
  <w:num w:numId="18" w16cid:durableId="1431662291">
    <w:abstractNumId w:val="23"/>
  </w:num>
  <w:num w:numId="19" w16cid:durableId="783773337">
    <w:abstractNumId w:val="11"/>
  </w:num>
  <w:num w:numId="20" w16cid:durableId="1189174042">
    <w:abstractNumId w:val="8"/>
  </w:num>
  <w:num w:numId="21" w16cid:durableId="795950767">
    <w:abstractNumId w:val="35"/>
  </w:num>
  <w:num w:numId="22" w16cid:durableId="258760742">
    <w:abstractNumId w:val="20"/>
  </w:num>
  <w:num w:numId="23" w16cid:durableId="1598907449">
    <w:abstractNumId w:val="0"/>
  </w:num>
  <w:num w:numId="24" w16cid:durableId="664863569">
    <w:abstractNumId w:val="32"/>
  </w:num>
  <w:num w:numId="25" w16cid:durableId="648872245">
    <w:abstractNumId w:val="37"/>
  </w:num>
  <w:num w:numId="26" w16cid:durableId="751656706">
    <w:abstractNumId w:val="5"/>
  </w:num>
  <w:num w:numId="27" w16cid:durableId="1788422817">
    <w:abstractNumId w:val="30"/>
  </w:num>
  <w:num w:numId="28" w16cid:durableId="77363833">
    <w:abstractNumId w:val="39"/>
  </w:num>
  <w:num w:numId="29" w16cid:durableId="1780445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4"/>
  </w:num>
  <w:num w:numId="31" w16cid:durableId="128014521">
    <w:abstractNumId w:val="27"/>
  </w:num>
  <w:num w:numId="32" w16cid:durableId="2132021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9"/>
  </w:num>
  <w:num w:numId="36" w16cid:durableId="1526402654">
    <w:abstractNumId w:val="14"/>
  </w:num>
  <w:num w:numId="37" w16cid:durableId="193881987">
    <w:abstractNumId w:val="4"/>
  </w:num>
  <w:num w:numId="38" w16cid:durableId="485323505">
    <w:abstractNumId w:val="46"/>
  </w:num>
  <w:num w:numId="39" w16cid:durableId="1161315708">
    <w:abstractNumId w:val="47"/>
  </w:num>
  <w:num w:numId="40" w16cid:durableId="726299305">
    <w:abstractNumId w:val="15"/>
  </w:num>
  <w:num w:numId="41" w16cid:durableId="1076822207">
    <w:abstractNumId w:val="12"/>
  </w:num>
  <w:num w:numId="42" w16cid:durableId="405494913">
    <w:abstractNumId w:val="19"/>
  </w:num>
  <w:num w:numId="43" w16cid:durableId="1696735735">
    <w:abstractNumId w:val="44"/>
  </w:num>
  <w:num w:numId="44" w16cid:durableId="1402480183">
    <w:abstractNumId w:val="38"/>
  </w:num>
  <w:num w:numId="45" w16cid:durableId="1569850650">
    <w:abstractNumId w:val="45"/>
  </w:num>
  <w:num w:numId="46" w16cid:durableId="803936194">
    <w:abstractNumId w:val="43"/>
  </w:num>
  <w:num w:numId="47" w16cid:durableId="899949616">
    <w:abstractNumId w:val="13"/>
  </w:num>
  <w:num w:numId="48" w16cid:durableId="1588929254">
    <w:abstractNumId w:val="17"/>
  </w:num>
  <w:num w:numId="49" w16cid:durableId="2127700694">
    <w:abstractNumId w:val="18"/>
  </w:num>
  <w:num w:numId="50" w16cid:durableId="70541261">
    <w:abstractNumId w:val="24"/>
  </w:num>
  <w:num w:numId="51" w16cid:durableId="15257054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284F"/>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1358"/>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78A"/>
    <w:rsid w:val="003709C7"/>
    <w:rsid w:val="00370C53"/>
    <w:rsid w:val="00374865"/>
    <w:rsid w:val="00380899"/>
    <w:rsid w:val="003816B1"/>
    <w:rsid w:val="00393AC3"/>
    <w:rsid w:val="003A1E56"/>
    <w:rsid w:val="003A3EFC"/>
    <w:rsid w:val="003A60D9"/>
    <w:rsid w:val="003B10A9"/>
    <w:rsid w:val="003B1EAA"/>
    <w:rsid w:val="003B48E0"/>
    <w:rsid w:val="003C089A"/>
    <w:rsid w:val="003D2E29"/>
    <w:rsid w:val="003D39F4"/>
    <w:rsid w:val="003D7E6B"/>
    <w:rsid w:val="003E00EC"/>
    <w:rsid w:val="003E135D"/>
    <w:rsid w:val="003E6E49"/>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20B02"/>
    <w:rsid w:val="00540487"/>
    <w:rsid w:val="0054058F"/>
    <w:rsid w:val="00540DD1"/>
    <w:rsid w:val="005462CA"/>
    <w:rsid w:val="00562C76"/>
    <w:rsid w:val="005643F4"/>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D5C34"/>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56AD6"/>
    <w:rsid w:val="00762773"/>
    <w:rsid w:val="00777D8C"/>
    <w:rsid w:val="007819A4"/>
    <w:rsid w:val="007A4105"/>
    <w:rsid w:val="007C7707"/>
    <w:rsid w:val="007E3890"/>
    <w:rsid w:val="00803D5D"/>
    <w:rsid w:val="00806D7F"/>
    <w:rsid w:val="00807F65"/>
    <w:rsid w:val="00810002"/>
    <w:rsid w:val="00810411"/>
    <w:rsid w:val="0082421C"/>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3EC3"/>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1E91"/>
    <w:rsid w:val="009E3C82"/>
    <w:rsid w:val="009F45B0"/>
    <w:rsid w:val="009F4A39"/>
    <w:rsid w:val="00A00C50"/>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D73CE"/>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50ECA"/>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pps.des.wa.gov/DESContracts/Home/PlannedProcurement" TargetMode="External"/><Relationship Id="rId26" Type="http://schemas.openxmlformats.org/officeDocument/2006/relationships/hyperlink" Target="mailto:desitps@des.wa.gov" TargetMode="External"/><Relationship Id="rId3" Type="http://schemas.openxmlformats.org/officeDocument/2006/relationships/customXml" Target="../customXml/item3.xml"/><Relationship Id="rId21" Type="http://schemas.openxmlformats.org/officeDocument/2006/relationships/hyperlink" Target="mailto:WEBSCustomerService@des.wa.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pps.des.wa.gov/DESContracts/Home/ContractSummary/14822" TargetMode="External"/><Relationship Id="rId25" Type="http://schemas.openxmlformats.org/officeDocument/2006/relationships/hyperlink" Target="https://apps.des.wa.gov/CSR/Vendor_Qtrly_Sales_Rpt.pdf" TargetMode="External"/><Relationship Id="rId2" Type="http://schemas.openxmlformats.org/officeDocument/2006/relationships/customXml" Target="../customXml/item2.xml"/><Relationship Id="rId16" Type="http://schemas.openxmlformats.org/officeDocument/2006/relationships/hyperlink" Target="https://apps.des.wa.gov/DESContracts/Home/MCUAListing" TargetMode="External"/><Relationship Id="rId20" Type="http://schemas.openxmlformats.org/officeDocument/2006/relationships/hyperlink" Target="https://des.wa.gov/sell/how-work-state/register-bid-opportunities" TargetMode="External"/><Relationship Id="rId29" Type="http://schemas.openxmlformats.org/officeDocument/2006/relationships/hyperlink" Target="https://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desitps@des.wa.gov" TargetMode="External"/><Relationship Id="rId5" Type="http://schemas.openxmlformats.org/officeDocument/2006/relationships/numbering" Target="numbering.xml"/><Relationship Id="rId15" Type="http://schemas.openxmlformats.org/officeDocument/2006/relationships/hyperlink" Target="https://apps.des.wa.gov/DESContracts/Home/MCUAListing" TargetMode="External"/><Relationship Id="rId23" Type="http://schemas.openxmlformats.org/officeDocument/2006/relationships/hyperlink" Target="https://des.wa.gov/sell/bid-opportunities" TargetMode="External"/><Relationship Id="rId28" Type="http://schemas.openxmlformats.org/officeDocument/2006/relationships/hyperlink" Target="https://wa.gov/" TargetMode="External"/><Relationship Id="rId10" Type="http://schemas.openxmlformats.org/officeDocument/2006/relationships/endnotes" Target="endnotes.xml"/><Relationship Id="rId19" Type="http://schemas.openxmlformats.org/officeDocument/2006/relationships/hyperlink" Target="https://pr-webs-vendor.des.w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DESContracts/Home/ContractSummary/14822" TargetMode="External"/><Relationship Id="rId22" Type="http://schemas.openxmlformats.org/officeDocument/2006/relationships/hyperlink" Target="https://des.wa.gov/sell/how-work-state" TargetMode="External"/><Relationship Id="rId27" Type="http://schemas.openxmlformats.org/officeDocument/2006/relationships/hyperlink" Target="https://apps.des.wa.gov/DESContracts/Home/MCUAListin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1701</Words>
  <Characters>10702</Characters>
  <Application>Microsoft Office Word</Application>
  <DocSecurity>0</DocSecurity>
  <Lines>305</Lines>
  <Paragraphs>179</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12224</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Berkhoudt, Katie (DES)</cp:lastModifiedBy>
  <cp:revision>2</cp:revision>
  <cp:lastPrinted>2018-02-01T23:33:00Z</cp:lastPrinted>
  <dcterms:created xsi:type="dcterms:W3CDTF">2025-01-22T12:52:00Z</dcterms:created>
  <dcterms:modified xsi:type="dcterms:W3CDTF">2025-01-22T12:52:00Z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