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7F685944" w:rsidR="00E027B4" w:rsidRPr="00D05C35" w:rsidRDefault="00A9598B" w:rsidP="00EE729D">
      <w:pPr>
        <w:pStyle w:val="Heading1"/>
        <w:rPr>
          <w:sz w:val="24"/>
          <w:szCs w:val="24"/>
        </w:rPr>
      </w:pPr>
      <w:proofErr w:type="gramStart"/>
      <w:r>
        <w:t>01124</w:t>
      </w:r>
      <w:r w:rsidR="002F01CD">
        <w:t xml:space="preserve"> </w:t>
      </w:r>
      <w:r w:rsidR="00774B12">
        <w:t xml:space="preserve"> –</w:t>
      </w:r>
      <w:proofErr w:type="gramEnd"/>
      <w:r w:rsidR="00476FBB">
        <w:t xml:space="preserve"> </w:t>
      </w:r>
      <w:r w:rsidR="004A263F">
        <w:t xml:space="preserve">Relocated Building Solutions </w:t>
      </w:r>
      <w:r>
        <w:t>(Sourcewell</w:t>
      </w:r>
      <w:r w:rsidR="000B45A9">
        <w:t xml:space="preserve"> #120822</w:t>
      </w:r>
      <w:r>
        <w:t>)</w:t>
      </w:r>
    </w:p>
    <w:p w14:paraId="7533B5BF" w14:textId="77777777" w:rsidR="00571DED" w:rsidRDefault="009B687A" w:rsidP="008B0469">
      <w:pPr>
        <w:rPr>
          <w:rFonts w:cs="Arial"/>
          <w:sz w:val="28"/>
        </w:rPr>
      </w:pPr>
      <w:r w:rsidRPr="00E259BC">
        <w:rPr>
          <w:rFonts w:cs="Arial"/>
          <w:sz w:val="28"/>
        </w:rPr>
        <w:t>Frequently Asked Questions</w:t>
      </w:r>
      <w:r w:rsidR="00E259BC">
        <w:rPr>
          <w:rFonts w:cs="Arial"/>
          <w:sz w:val="28"/>
        </w:rPr>
        <w:t xml:space="preserve"> (FAQ)</w:t>
      </w:r>
    </w:p>
    <w:p w14:paraId="5BD05F04" w14:textId="6B6C467D" w:rsidR="00F914ED" w:rsidRDefault="00F914ED" w:rsidP="008B0469">
      <w:pPr>
        <w:rPr>
          <w:rFonts w:cs="Arial"/>
          <w:sz w:val="28"/>
        </w:rPr>
      </w:pPr>
    </w:p>
    <w:p w14:paraId="63D9F564" w14:textId="24457C19" w:rsidR="00F914ED" w:rsidRPr="00F32E85" w:rsidRDefault="00F0133D" w:rsidP="00DE191A">
      <w:pPr>
        <w:rPr>
          <w:rFonts w:cs="Arial"/>
          <w:b/>
          <w:bCs/>
          <w:sz w:val="32"/>
          <w:szCs w:val="32"/>
        </w:rPr>
      </w:pPr>
      <w:r w:rsidRPr="00F32E85">
        <w:rPr>
          <w:rFonts w:cs="Arial"/>
          <w:b/>
          <w:bCs/>
          <w:sz w:val="32"/>
          <w:szCs w:val="32"/>
        </w:rPr>
        <w:t xml:space="preserve">Contract </w:t>
      </w:r>
      <w:r w:rsidR="00F914ED" w:rsidRPr="00F32E85">
        <w:rPr>
          <w:rFonts w:cs="Arial"/>
          <w:b/>
          <w:bCs/>
          <w:sz w:val="32"/>
          <w:szCs w:val="32"/>
        </w:rPr>
        <w:t>FAQs</w:t>
      </w:r>
    </w:p>
    <w:p w14:paraId="4F27DA9C" w14:textId="77777777" w:rsidR="00193BF4" w:rsidRPr="006E603E" w:rsidRDefault="00193BF4" w:rsidP="008B0469">
      <w:pPr>
        <w:rPr>
          <w:rFonts w:cs="Arial"/>
          <w:szCs w:val="18"/>
        </w:rPr>
      </w:pPr>
    </w:p>
    <w:p w14:paraId="7F1B7EF9" w14:textId="625C62D7" w:rsidR="008D61A9" w:rsidRPr="009E7CB8" w:rsidRDefault="00F0133D" w:rsidP="009E7CB8">
      <w:pPr>
        <w:pStyle w:val="Heading2"/>
      </w:pPr>
      <w:r w:rsidRPr="009E7CB8">
        <w:t xml:space="preserve">Purchaser </w:t>
      </w:r>
      <w:r w:rsidR="008D61A9" w:rsidRPr="009E7CB8">
        <w:t>Related</w:t>
      </w:r>
    </w:p>
    <w:p w14:paraId="7435A28A" w14:textId="77777777" w:rsidR="0076535B" w:rsidRPr="0076535B" w:rsidRDefault="0076535B" w:rsidP="0076535B">
      <w:bookmarkStart w:id="0" w:name="FAQ_1"/>
      <w:bookmarkStart w:id="1" w:name="FAQ_2"/>
      <w:bookmarkEnd w:id="0"/>
      <w:bookmarkEnd w:id="1"/>
    </w:p>
    <w:p w14:paraId="6A25D496" w14:textId="31655157" w:rsidR="005C17E9" w:rsidRPr="005755A7" w:rsidRDefault="00AC03D8" w:rsidP="00816D70">
      <w:pPr>
        <w:pStyle w:val="Heading4"/>
        <w:numPr>
          <w:ilvl w:val="0"/>
          <w:numId w:val="1"/>
        </w:numPr>
        <w:ind w:left="360"/>
        <w:rPr>
          <w:rFonts w:cs="Arial"/>
        </w:rPr>
      </w:pPr>
      <w:r w:rsidRPr="005755A7">
        <w:t>C</w:t>
      </w:r>
      <w:r w:rsidR="00921B2F" w:rsidRPr="005755A7">
        <w:t>an</w:t>
      </w:r>
      <w:r w:rsidR="00F914ED" w:rsidRPr="005755A7">
        <w:t xml:space="preserve"> I choose any awarded </w:t>
      </w:r>
      <w:r w:rsidR="005D145A" w:rsidRPr="005755A7">
        <w:t>contractor</w:t>
      </w:r>
      <w:r w:rsidR="00F914ED" w:rsidRPr="005755A7">
        <w:t xml:space="preserve"> to purchase from this </w:t>
      </w:r>
      <w:r w:rsidR="00EC6988">
        <w:t xml:space="preserve">Participation Agreement </w:t>
      </w:r>
      <w:r w:rsidR="00693255">
        <w:t>“contract”</w:t>
      </w:r>
      <w:r w:rsidR="00F914ED" w:rsidRPr="005755A7">
        <w:t>?</w:t>
      </w:r>
    </w:p>
    <w:p w14:paraId="29F55FF3" w14:textId="7D5D0CD7" w:rsidR="006D4694" w:rsidRPr="00A32150" w:rsidRDefault="007C06CA" w:rsidP="007C06CA">
      <w:pPr>
        <w:ind w:left="360"/>
        <w:jc w:val="both"/>
        <w:rPr>
          <w:rFonts w:cs="Arial"/>
          <w:color w:val="1F497D"/>
        </w:rPr>
      </w:pPr>
      <w:r w:rsidRPr="008723D8">
        <w:rPr>
          <w:rFonts w:cs="Arial"/>
          <w:color w:val="1F497D"/>
        </w:rPr>
        <w:t xml:space="preserve">All </w:t>
      </w:r>
      <w:r w:rsidRPr="004B597C">
        <w:rPr>
          <w:rFonts w:cs="Arial"/>
          <w:color w:val="1F497D"/>
        </w:rPr>
        <w:t>contractors went through the competitive solicitation process and were selected to be awarded on this contract as the highest scoring</w:t>
      </w:r>
      <w:r w:rsidR="00A32150" w:rsidRPr="004B597C">
        <w:rPr>
          <w:rFonts w:cs="Arial"/>
          <w:color w:val="1F497D"/>
        </w:rPr>
        <w:t>, responsive, responsible</w:t>
      </w:r>
      <w:r w:rsidRPr="004B597C">
        <w:rPr>
          <w:rFonts w:cs="Arial"/>
          <w:color w:val="1F497D"/>
        </w:rPr>
        <w:t xml:space="preserve"> bidders. </w:t>
      </w:r>
      <w:r w:rsidR="00A32150" w:rsidRPr="004B597C">
        <w:rPr>
          <w:rFonts w:cs="Arial"/>
          <w:color w:val="1F497D"/>
        </w:rPr>
        <w:t xml:space="preserve"> </w:t>
      </w:r>
      <w:r w:rsidRPr="004B597C">
        <w:rPr>
          <w:rFonts w:cs="Arial"/>
          <w:color w:val="1F497D"/>
        </w:rPr>
        <w:t xml:space="preserve">State of Washington Agency </w:t>
      </w:r>
      <w:r w:rsidR="006D4694" w:rsidRPr="004B597C">
        <w:rPr>
          <w:rFonts w:cs="Arial"/>
          <w:color w:val="1F497D"/>
        </w:rPr>
        <w:t xml:space="preserve">purchasers </w:t>
      </w:r>
      <w:r w:rsidRPr="004B597C">
        <w:rPr>
          <w:rFonts w:cs="Arial"/>
          <w:color w:val="1F497D"/>
        </w:rPr>
        <w:t xml:space="preserve">are not required to conduct further competition to choose an awarded contractor. </w:t>
      </w:r>
      <w:r w:rsidR="009F4DA0" w:rsidRPr="004B597C">
        <w:rPr>
          <w:rFonts w:cs="Arial"/>
          <w:color w:val="1F497D"/>
        </w:rPr>
        <w:t xml:space="preserve"> </w:t>
      </w:r>
      <w:r w:rsidRPr="004B597C">
        <w:rPr>
          <w:rFonts w:cs="Arial"/>
          <w:color w:val="1F497D"/>
        </w:rPr>
        <w:t xml:space="preserve">Other </w:t>
      </w:r>
      <w:r w:rsidR="009F4DA0" w:rsidRPr="004B597C">
        <w:rPr>
          <w:rFonts w:cs="Arial"/>
          <w:color w:val="1F497D"/>
        </w:rPr>
        <w:t>eligible purchasers s</w:t>
      </w:r>
      <w:r w:rsidRPr="004B597C">
        <w:rPr>
          <w:rFonts w:cs="Arial"/>
          <w:color w:val="1F497D"/>
        </w:rPr>
        <w:t>hould follow their applicable</w:t>
      </w:r>
      <w:r w:rsidRPr="008723D8">
        <w:rPr>
          <w:rFonts w:cs="Arial"/>
          <w:color w:val="1F497D"/>
        </w:rPr>
        <w:t xml:space="preserve"> rules regarding contractor selection.</w:t>
      </w:r>
      <w:r w:rsidR="006D4694" w:rsidRPr="008723D8">
        <w:rPr>
          <w:rFonts w:cs="Arial"/>
          <w:color w:val="1F497D"/>
        </w:rPr>
        <w:t xml:space="preserve">  </w:t>
      </w:r>
    </w:p>
    <w:p w14:paraId="611505FF" w14:textId="77777777" w:rsidR="007C06CA" w:rsidRPr="00EC3CEB" w:rsidRDefault="007C06CA" w:rsidP="005C6BA0">
      <w:pPr>
        <w:pStyle w:val="ListParagraph"/>
        <w:ind w:left="360"/>
        <w:jc w:val="both"/>
        <w:rPr>
          <w:rFonts w:cs="Arial"/>
          <w:color w:val="1F497D"/>
        </w:rPr>
      </w:pPr>
    </w:p>
    <w:p w14:paraId="5E0A69C5" w14:textId="7AF7C8E9" w:rsidR="00C66F30" w:rsidRDefault="0079359C" w:rsidP="00816D70">
      <w:pPr>
        <w:pStyle w:val="Heading4"/>
        <w:numPr>
          <w:ilvl w:val="0"/>
          <w:numId w:val="1"/>
        </w:numPr>
        <w:ind w:left="360"/>
      </w:pPr>
      <w:r>
        <w:t>How</w:t>
      </w:r>
      <w:r w:rsidR="00C66F30">
        <w:t xml:space="preserve"> </w:t>
      </w:r>
      <w:r w:rsidR="0070531B">
        <w:t>are Cooperative Agreements</w:t>
      </w:r>
      <w:r>
        <w:t xml:space="preserve"> </w:t>
      </w:r>
      <w:r w:rsidR="0070531B">
        <w:t>developed</w:t>
      </w:r>
      <w:r w:rsidR="00C66F30">
        <w:t>?</w:t>
      </w:r>
    </w:p>
    <w:p w14:paraId="223E9AC8" w14:textId="2835AC3B" w:rsidR="0070531B" w:rsidRDefault="0070531B" w:rsidP="00C66F30">
      <w:pPr>
        <w:ind w:left="360"/>
        <w:jc w:val="both"/>
        <w:rPr>
          <w:color w:val="212529"/>
          <w:shd w:val="clear" w:color="auto" w:fill="FFFFFF"/>
        </w:rPr>
      </w:pPr>
      <w:r w:rsidRPr="0070531B">
        <w:rPr>
          <w:rFonts w:cs="Arial"/>
          <w:color w:val="1F497D"/>
        </w:rPr>
        <w:t xml:space="preserve">This contract is an authorized cooperative contract originally conducted by another state, for more information about the overarching contract, please see the </w:t>
      </w:r>
      <w:r w:rsidRPr="00346250">
        <w:rPr>
          <w:rFonts w:cs="Arial"/>
          <w:color w:val="1F497D"/>
        </w:rPr>
        <w:t>following</w:t>
      </w:r>
      <w:r w:rsidRPr="0070531B">
        <w:rPr>
          <w:rFonts w:cs="Arial"/>
          <w:color w:val="1F497D"/>
        </w:rPr>
        <w:t xml:space="preserve"> link</w:t>
      </w:r>
      <w:hyperlink r:id="rId11" w:history="1">
        <w:r w:rsidR="00BE2F28" w:rsidRPr="00BE2F28">
          <w:rPr>
            <w:rStyle w:val="Hyperlink"/>
            <w:rFonts w:cs="Arial"/>
          </w:rPr>
          <w:t xml:space="preserve"> Sourcewell Relocatable Building Solutions</w:t>
        </w:r>
      </w:hyperlink>
      <w:r w:rsidRPr="0070531B">
        <w:rPr>
          <w:color w:val="212529"/>
          <w:shd w:val="clear" w:color="auto" w:fill="FFFFFF"/>
        </w:rPr>
        <w:t>: </w:t>
      </w:r>
    </w:p>
    <w:p w14:paraId="3A3F2646" w14:textId="77777777" w:rsidR="0070531B" w:rsidRPr="0070531B" w:rsidRDefault="0070531B" w:rsidP="00C66F30">
      <w:pPr>
        <w:ind w:left="360"/>
        <w:jc w:val="both"/>
        <w:rPr>
          <w:color w:val="1F497D"/>
        </w:rPr>
      </w:pPr>
    </w:p>
    <w:p w14:paraId="27E1575F" w14:textId="56374AD4" w:rsidR="0079359C" w:rsidRPr="0079359C" w:rsidRDefault="0079359C" w:rsidP="00C66F30">
      <w:pPr>
        <w:ind w:left="360"/>
        <w:jc w:val="both"/>
        <w:rPr>
          <w:rFonts w:cs="Arial"/>
          <w:color w:val="1F497D"/>
        </w:rPr>
      </w:pPr>
      <w:r w:rsidRPr="0079359C">
        <w:rPr>
          <w:rFonts w:cs="Arial"/>
          <w:color w:val="1F497D"/>
        </w:rPr>
        <w:t>Participation Agreements help Enterprise Services deliver government contracting services more cost-effectively and efficiently for eligible purchasers.  At the same time, Pas are designed to help optimize Enterprise Services’ relationship with Contractors and accomplish increasing stakeholder expectations for public procurement.</w:t>
      </w:r>
    </w:p>
    <w:p w14:paraId="2C74E735" w14:textId="77777777" w:rsidR="0079359C" w:rsidRDefault="0079359C" w:rsidP="00C66F30">
      <w:pPr>
        <w:ind w:left="360"/>
        <w:jc w:val="both"/>
        <w:rPr>
          <w:rFonts w:cs="Arial"/>
          <w:color w:val="1F497D"/>
        </w:rPr>
      </w:pPr>
    </w:p>
    <w:p w14:paraId="698832BA" w14:textId="59F50583" w:rsidR="00C66F30" w:rsidRPr="00C66F30" w:rsidRDefault="00C66F30" w:rsidP="00C66F30">
      <w:pPr>
        <w:ind w:left="360"/>
        <w:jc w:val="both"/>
        <w:rPr>
          <w:rFonts w:cs="Arial"/>
          <w:color w:val="1F497D"/>
        </w:rPr>
      </w:pPr>
      <w:r w:rsidRPr="00C66F30">
        <w:rPr>
          <w:rFonts w:cs="Arial"/>
          <w:color w:val="1F497D"/>
        </w:rPr>
        <w:t>The State of Washington’s participation in a particular form of public procurement contracts that are developed and awarded by another state through a cooperative purchasing agreement administered by a third-party (</w:t>
      </w:r>
      <w:proofErr w:type="spellStart"/>
      <w:r w:rsidRPr="000B45A9">
        <w:rPr>
          <w:rFonts w:cs="Arial"/>
          <w:color w:val="1F497D"/>
        </w:rPr>
        <w:t>NASPO</w:t>
      </w:r>
      <w:proofErr w:type="spellEnd"/>
      <w:r w:rsidRPr="00C66F30">
        <w:rPr>
          <w:rFonts w:cs="Arial"/>
          <w:color w:val="1F497D"/>
        </w:rPr>
        <w:t xml:space="preserve"> </w:t>
      </w:r>
      <w:proofErr w:type="spellStart"/>
      <w:r w:rsidRPr="00C66F30">
        <w:rPr>
          <w:rFonts w:cs="Arial"/>
          <w:color w:val="1F497D"/>
        </w:rPr>
        <w:t>ValuePoint</w:t>
      </w:r>
      <w:proofErr w:type="spellEnd"/>
      <w:r w:rsidRPr="00C66F30">
        <w:rPr>
          <w:rFonts w:cs="Arial"/>
          <w:color w:val="1F497D"/>
        </w:rPr>
        <w:t>, Sourcewell, etc.).  The State of Washington must ensure that its participation in cooperative purchasing agreements meets certain fundamental objectives.  In short, the State of Washington must ensure that the procurement – which was not developed, competed, evaluated, or awarded by Enterprise Services – does:</w:t>
      </w:r>
    </w:p>
    <w:p w14:paraId="4648E119" w14:textId="77777777" w:rsidR="00D85499" w:rsidRDefault="00C66F30" w:rsidP="00A81AA9">
      <w:pPr>
        <w:pStyle w:val="ListParagraph"/>
        <w:numPr>
          <w:ilvl w:val="0"/>
          <w:numId w:val="24"/>
        </w:numPr>
        <w:spacing w:before="120"/>
        <w:contextualSpacing w:val="0"/>
        <w:jc w:val="both"/>
        <w:rPr>
          <w:rFonts w:cs="Arial"/>
          <w:color w:val="1F497D"/>
        </w:rPr>
      </w:pPr>
      <w:r w:rsidRPr="00D85499">
        <w:rPr>
          <w:rFonts w:cs="Arial"/>
          <w:color w:val="1F497D"/>
        </w:rPr>
        <w:t>Align with Washington’s procurement code for goods and services (RCW chap. 39.26); and</w:t>
      </w:r>
      <w:r w:rsidR="00D85499" w:rsidRPr="00D85499">
        <w:rPr>
          <w:rFonts w:cs="Arial"/>
          <w:color w:val="1F497D"/>
        </w:rPr>
        <w:t xml:space="preserve"> </w:t>
      </w:r>
    </w:p>
    <w:p w14:paraId="3C117AFD" w14:textId="1E3DDCB5" w:rsidR="00C66F30" w:rsidRPr="00D85499" w:rsidRDefault="00C66F30" w:rsidP="00A81AA9">
      <w:pPr>
        <w:pStyle w:val="ListParagraph"/>
        <w:numPr>
          <w:ilvl w:val="0"/>
          <w:numId w:val="24"/>
        </w:numPr>
        <w:spacing w:before="120"/>
        <w:contextualSpacing w:val="0"/>
        <w:jc w:val="both"/>
        <w:rPr>
          <w:rFonts w:cs="Arial"/>
          <w:color w:val="1F497D"/>
        </w:rPr>
      </w:pPr>
      <w:r w:rsidRPr="00D85499">
        <w:rPr>
          <w:rFonts w:cs="Arial"/>
          <w:color w:val="1F497D"/>
        </w:rPr>
        <w:t>Meet Washington stakeholder objectives pertaining to state procurement of goods and services.</w:t>
      </w:r>
    </w:p>
    <w:p w14:paraId="399A24F2" w14:textId="77777777" w:rsidR="00C66F30" w:rsidRPr="00C66F30" w:rsidRDefault="00C66F30" w:rsidP="00C66F30">
      <w:pPr>
        <w:ind w:left="360"/>
        <w:rPr>
          <w:rFonts w:cs="Arial"/>
          <w:color w:val="1F497D"/>
        </w:rPr>
      </w:pPr>
    </w:p>
    <w:p w14:paraId="4EF19EC5" w14:textId="20C1DBAF" w:rsidR="00C66F30" w:rsidRPr="00C66F30" w:rsidRDefault="00C66F30" w:rsidP="00C66F30">
      <w:pPr>
        <w:ind w:left="360"/>
        <w:jc w:val="both"/>
        <w:rPr>
          <w:rFonts w:cs="Arial"/>
          <w:color w:val="1F497D"/>
        </w:rPr>
      </w:pPr>
      <w:r w:rsidRPr="00C66F30">
        <w:rPr>
          <w:rFonts w:cs="Arial"/>
          <w:color w:val="1F497D"/>
        </w:rPr>
        <w:t xml:space="preserve">In addition, the </w:t>
      </w:r>
      <w:proofErr w:type="spellStart"/>
      <w:r w:rsidRPr="00C66F30">
        <w:rPr>
          <w:rFonts w:cs="Arial"/>
          <w:color w:val="1F497D"/>
        </w:rPr>
        <w:t>NASPO</w:t>
      </w:r>
      <w:proofErr w:type="spellEnd"/>
      <w:r w:rsidRPr="00C66F30">
        <w:rPr>
          <w:rFonts w:cs="Arial"/>
          <w:color w:val="1F497D"/>
        </w:rPr>
        <w:t xml:space="preserve"> </w:t>
      </w:r>
      <w:proofErr w:type="spellStart"/>
      <w:r w:rsidRPr="00C66F30">
        <w:rPr>
          <w:rFonts w:cs="Arial"/>
          <w:color w:val="1F497D"/>
        </w:rPr>
        <w:t>ValuePoint</w:t>
      </w:r>
      <w:proofErr w:type="spellEnd"/>
      <w:r w:rsidRPr="00C66F30">
        <w:rPr>
          <w:rFonts w:cs="Arial"/>
          <w:color w:val="1F497D"/>
        </w:rPr>
        <w:t xml:space="preserve"> Cooperative Purchasing Contract/Sourcewell must meet Washington’s statutory competitive procurement requirements.  See RCW 39.26.060(2).</w:t>
      </w:r>
    </w:p>
    <w:p w14:paraId="08CB0135" w14:textId="77777777" w:rsidR="00C66F30" w:rsidRPr="00C66F30" w:rsidRDefault="00C66F30" w:rsidP="00C66F30">
      <w:pPr>
        <w:ind w:left="360"/>
        <w:rPr>
          <w:rFonts w:cs="Arial"/>
          <w:color w:val="1F497D"/>
        </w:rPr>
      </w:pPr>
    </w:p>
    <w:p w14:paraId="40BC2A0B" w14:textId="5088896D" w:rsidR="008D61A9" w:rsidRPr="005755A7" w:rsidRDefault="00C66F30" w:rsidP="00816D70">
      <w:pPr>
        <w:pStyle w:val="Heading4"/>
        <w:numPr>
          <w:ilvl w:val="0"/>
          <w:numId w:val="1"/>
        </w:numPr>
        <w:ind w:left="360"/>
        <w:rPr>
          <w:sz w:val="28"/>
          <w:szCs w:val="28"/>
        </w:rPr>
      </w:pPr>
      <w:r>
        <w:t>W</w:t>
      </w:r>
      <w:r w:rsidR="00F914ED" w:rsidRPr="005755A7">
        <w:t>hat is the pricing model?</w:t>
      </w:r>
    </w:p>
    <w:p w14:paraId="56558FB3" w14:textId="3598F2B1" w:rsidR="00776BCF" w:rsidRPr="003114DC" w:rsidRDefault="003114DC" w:rsidP="00A30DC8">
      <w:pPr>
        <w:ind w:left="360"/>
        <w:jc w:val="both"/>
        <w:rPr>
          <w:rFonts w:cs="Arial"/>
          <w:color w:val="1F497D"/>
        </w:rPr>
      </w:pPr>
      <w:r w:rsidRPr="003114DC">
        <w:rPr>
          <w:rFonts w:cs="Arial"/>
          <w:color w:val="1F497D"/>
        </w:rPr>
        <w:t xml:space="preserve">Pricing </w:t>
      </w:r>
      <w:r w:rsidRPr="005D0788">
        <w:rPr>
          <w:rFonts w:cs="Arial"/>
          <w:color w:val="1F497D"/>
        </w:rPr>
        <w:t xml:space="preserve">is based </w:t>
      </w:r>
      <w:proofErr w:type="gramStart"/>
      <w:r w:rsidRPr="005D0788">
        <w:rPr>
          <w:rFonts w:cs="Arial"/>
          <w:color w:val="1F497D"/>
        </w:rPr>
        <w:t>off of</w:t>
      </w:r>
      <w:proofErr w:type="gramEnd"/>
      <w:r w:rsidRPr="005D0788">
        <w:rPr>
          <w:rFonts w:cs="Arial"/>
          <w:color w:val="1F497D"/>
        </w:rPr>
        <w:t xml:space="preserve"> a discount percentage off of the vendor’s catalog price list, please contact the </w:t>
      </w:r>
      <w:r w:rsidR="005D0788" w:rsidRPr="005D0788">
        <w:rPr>
          <w:rFonts w:cs="Arial"/>
          <w:color w:val="1F497D"/>
        </w:rPr>
        <w:t>Contractor</w:t>
      </w:r>
      <w:r w:rsidRPr="005D0788">
        <w:rPr>
          <w:rFonts w:cs="Arial"/>
          <w:color w:val="1F497D"/>
        </w:rPr>
        <w:t xml:space="preserve"> for specific pricing.</w:t>
      </w:r>
    </w:p>
    <w:p w14:paraId="16492498" w14:textId="77777777" w:rsidR="003114DC" w:rsidRDefault="003114DC" w:rsidP="00AA592C">
      <w:pPr>
        <w:ind w:left="360"/>
        <w:rPr>
          <w:rFonts w:cs="Arial"/>
          <w:color w:val="1F497D"/>
        </w:rPr>
      </w:pPr>
    </w:p>
    <w:p w14:paraId="0ABF49FD" w14:textId="5572D054" w:rsidR="005D0788" w:rsidRPr="005944B6" w:rsidRDefault="005D0788" w:rsidP="00B22F3E">
      <w:pPr>
        <w:ind w:left="360"/>
        <w:jc w:val="both"/>
        <w:rPr>
          <w:rFonts w:cs="Arial"/>
          <w:color w:val="1F497D"/>
        </w:rPr>
      </w:pPr>
      <w:r>
        <w:rPr>
          <w:rFonts w:cs="Arial"/>
          <w:color w:val="1F497D"/>
        </w:rPr>
        <w:t>P</w:t>
      </w:r>
      <w:r w:rsidRPr="00820919">
        <w:rPr>
          <w:rFonts w:cs="Arial"/>
          <w:color w:val="1F497D"/>
        </w:rPr>
        <w:t xml:space="preserve">ricing </w:t>
      </w:r>
      <w:r>
        <w:rPr>
          <w:rFonts w:cs="Arial"/>
          <w:color w:val="1F497D"/>
        </w:rPr>
        <w:t>is project-specific based on required specifications</w:t>
      </w:r>
      <w:r w:rsidRPr="00220B84">
        <w:rPr>
          <w:rFonts w:cs="Arial"/>
          <w:color w:val="1F497D"/>
        </w:rPr>
        <w:t xml:space="preserve">.    Purchasers must contact the awarded Contractor and request a quote/estimate with the purchaser’s specific details including however not </w:t>
      </w:r>
      <w:r w:rsidRPr="000776A2">
        <w:rPr>
          <w:rFonts w:cs="Arial"/>
          <w:color w:val="1F497D"/>
        </w:rPr>
        <w:t xml:space="preserve">limited to: Size, </w:t>
      </w:r>
      <w:r w:rsidR="00F813CD" w:rsidRPr="000776A2">
        <w:rPr>
          <w:rFonts w:cs="Arial"/>
          <w:color w:val="1F497D"/>
        </w:rPr>
        <w:t>a</w:t>
      </w:r>
      <w:r w:rsidR="00816390" w:rsidRPr="000776A2">
        <w:rPr>
          <w:rFonts w:cs="Arial"/>
          <w:color w:val="1F497D"/>
        </w:rPr>
        <w:t xml:space="preserve">ll </w:t>
      </w:r>
      <w:r w:rsidR="00F813CD" w:rsidRPr="000776A2">
        <w:rPr>
          <w:rFonts w:cs="Arial"/>
          <w:color w:val="1F497D"/>
        </w:rPr>
        <w:t>i</w:t>
      </w:r>
      <w:r w:rsidR="00816390" w:rsidRPr="000776A2">
        <w:rPr>
          <w:rFonts w:cs="Arial"/>
          <w:color w:val="1F497D"/>
        </w:rPr>
        <w:t xml:space="preserve">nstallation &amp; </w:t>
      </w:r>
      <w:r w:rsidR="00F813CD" w:rsidRPr="000776A2">
        <w:rPr>
          <w:rFonts w:cs="Arial"/>
          <w:color w:val="1F497D"/>
        </w:rPr>
        <w:t>a</w:t>
      </w:r>
      <w:r w:rsidR="00816390" w:rsidRPr="000776A2">
        <w:rPr>
          <w:rFonts w:cs="Arial"/>
          <w:color w:val="1F497D"/>
        </w:rPr>
        <w:t xml:space="preserve">ll </w:t>
      </w:r>
      <w:r w:rsidR="00F813CD" w:rsidRPr="000776A2">
        <w:rPr>
          <w:rFonts w:cs="Arial"/>
          <w:color w:val="1F497D"/>
        </w:rPr>
        <w:t>r</w:t>
      </w:r>
      <w:r w:rsidR="00816390" w:rsidRPr="000776A2">
        <w:rPr>
          <w:rFonts w:cs="Arial"/>
          <w:color w:val="1F497D"/>
        </w:rPr>
        <w:t xml:space="preserve">emoval costs, </w:t>
      </w:r>
      <w:r w:rsidR="00F813CD" w:rsidRPr="000776A2">
        <w:rPr>
          <w:rFonts w:cs="Arial"/>
          <w:color w:val="1F497D"/>
        </w:rPr>
        <w:t xml:space="preserve">delivery costs, </w:t>
      </w:r>
      <w:r w:rsidR="005D1D92" w:rsidRPr="000776A2">
        <w:rPr>
          <w:rFonts w:cs="Arial"/>
          <w:color w:val="1F497D"/>
        </w:rPr>
        <w:t xml:space="preserve">tie downs (If yes, what type and how </w:t>
      </w:r>
      <w:r w:rsidR="005D1D92" w:rsidRPr="000776A2">
        <w:rPr>
          <w:rFonts w:cs="Arial"/>
          <w:color w:val="1F497D"/>
        </w:rPr>
        <w:lastRenderedPageBreak/>
        <w:t xml:space="preserve">many), is the trailer to be set at cement and/or will the wheels need to be removed to be set on the space, </w:t>
      </w:r>
      <w:r w:rsidR="00816390" w:rsidRPr="000776A2">
        <w:rPr>
          <w:rFonts w:cs="Arial"/>
          <w:color w:val="1F497D"/>
        </w:rPr>
        <w:t>skirting, stairs/steps/ramp (ADA/OSHA)</w:t>
      </w:r>
      <w:r w:rsidR="001103C2" w:rsidRPr="000776A2">
        <w:rPr>
          <w:rFonts w:cs="Arial"/>
          <w:color w:val="1F497D"/>
        </w:rPr>
        <w:t xml:space="preserve"> including any accessibility features apart from ADA compliance</w:t>
      </w:r>
      <w:r w:rsidR="00816390" w:rsidRPr="000776A2">
        <w:rPr>
          <w:rFonts w:cs="Arial"/>
          <w:color w:val="1F497D"/>
        </w:rPr>
        <w:t xml:space="preserve">, </w:t>
      </w:r>
      <w:r w:rsidR="006B20E3" w:rsidRPr="000776A2">
        <w:rPr>
          <w:rFonts w:cs="Arial"/>
          <w:color w:val="1F497D"/>
        </w:rPr>
        <w:t>a</w:t>
      </w:r>
      <w:r w:rsidR="00F813CD" w:rsidRPr="000776A2">
        <w:rPr>
          <w:rFonts w:cs="Arial"/>
          <w:color w:val="1F497D"/>
        </w:rPr>
        <w:t xml:space="preserve">ir </w:t>
      </w:r>
      <w:r w:rsidR="006B20E3" w:rsidRPr="000776A2">
        <w:rPr>
          <w:rFonts w:cs="Arial"/>
          <w:color w:val="1F497D"/>
        </w:rPr>
        <w:t>c</w:t>
      </w:r>
      <w:r w:rsidR="00F813CD" w:rsidRPr="000776A2">
        <w:rPr>
          <w:rFonts w:cs="Arial"/>
          <w:color w:val="1F497D"/>
        </w:rPr>
        <w:t xml:space="preserve">onditioning/HVAC, restrooms, </w:t>
      </w:r>
      <w:r w:rsidR="00DE4618" w:rsidRPr="000776A2">
        <w:rPr>
          <w:rFonts w:cs="Arial"/>
          <w:color w:val="1F497D"/>
        </w:rPr>
        <w:t xml:space="preserve">sink, </w:t>
      </w:r>
      <w:r w:rsidR="00F813CD" w:rsidRPr="000776A2">
        <w:rPr>
          <w:rFonts w:cs="Arial"/>
          <w:color w:val="1F497D"/>
        </w:rPr>
        <w:t xml:space="preserve">electrical, </w:t>
      </w:r>
      <w:r w:rsidR="00816390" w:rsidRPr="000776A2">
        <w:rPr>
          <w:rFonts w:cs="Arial"/>
          <w:color w:val="1F497D"/>
        </w:rPr>
        <w:t>blinds, security kit for doors and/or windows,</w:t>
      </w:r>
      <w:r w:rsidR="00770AC6" w:rsidRPr="000776A2">
        <w:rPr>
          <w:rFonts w:cs="Arial"/>
          <w:color w:val="1F497D"/>
        </w:rPr>
        <w:t xml:space="preserve"> preferred delivery time frame, i</w:t>
      </w:r>
      <w:r w:rsidR="001103C2" w:rsidRPr="000776A2">
        <w:rPr>
          <w:rFonts w:cs="Arial"/>
          <w:color w:val="1F497D"/>
        </w:rPr>
        <w:t xml:space="preserve">nsurance requirements, maintenance and upkeep, internet and communication, </w:t>
      </w:r>
      <w:r w:rsidRPr="000776A2">
        <w:rPr>
          <w:rFonts w:cs="Arial"/>
          <w:color w:val="1F497D"/>
        </w:rPr>
        <w:t xml:space="preserve"> etc. </w:t>
      </w:r>
    </w:p>
    <w:p w14:paraId="327B2524" w14:textId="77777777" w:rsidR="006F6567" w:rsidRPr="000776A2" w:rsidRDefault="006F6567" w:rsidP="00B22F3E">
      <w:pPr>
        <w:ind w:left="360"/>
        <w:jc w:val="both"/>
        <w:rPr>
          <w:rFonts w:cs="Arial"/>
          <w:color w:val="1F497D"/>
        </w:rPr>
      </w:pPr>
    </w:p>
    <w:p w14:paraId="2D1F0A27" w14:textId="29C0A4C2" w:rsidR="00B22F3E" w:rsidRDefault="00457768" w:rsidP="00B22F3E">
      <w:pPr>
        <w:ind w:left="360"/>
        <w:jc w:val="both"/>
        <w:rPr>
          <w:rFonts w:cs="Arial"/>
          <w:color w:val="1F497D"/>
        </w:rPr>
      </w:pPr>
      <w:r>
        <w:rPr>
          <w:rFonts w:cs="Arial"/>
          <w:color w:val="1F497D"/>
        </w:rPr>
        <w:t>C</w:t>
      </w:r>
      <w:r w:rsidR="00B22F3E" w:rsidRPr="000776A2">
        <w:rPr>
          <w:rFonts w:cs="Arial"/>
          <w:color w:val="1F497D"/>
        </w:rPr>
        <w:t xml:space="preserve">onsider previewing the relocated building if not brand new, and check for professional appearance on: flooring, </w:t>
      </w:r>
      <w:r w:rsidR="00770AC6" w:rsidRPr="000776A2">
        <w:rPr>
          <w:rFonts w:cs="Arial"/>
          <w:color w:val="1F497D"/>
        </w:rPr>
        <w:t>paint and finishes (any cosmetic issues), doors and door locks, windows, safety features, ventilation, lighting fixtures, plumbing</w:t>
      </w:r>
      <w:r w:rsidR="00B22F3E" w:rsidRPr="000776A2">
        <w:rPr>
          <w:rFonts w:cs="Arial"/>
          <w:color w:val="1F497D"/>
        </w:rPr>
        <w:t xml:space="preserve">, </w:t>
      </w:r>
      <w:r w:rsidR="00BB0D83" w:rsidRPr="000776A2">
        <w:rPr>
          <w:rFonts w:cs="Arial"/>
          <w:color w:val="1F497D"/>
        </w:rPr>
        <w:t>structural soundness (any signs of wear/tear, cracks, leaks, or damage to the foundation or framework),</w:t>
      </w:r>
      <w:r w:rsidR="00770AC6" w:rsidRPr="000776A2">
        <w:rPr>
          <w:rFonts w:cs="Arial"/>
          <w:color w:val="1F497D"/>
        </w:rPr>
        <w:t xml:space="preserve"> roof condition (any signs of damage, leaks, or required maintenance), </w:t>
      </w:r>
      <w:r>
        <w:rPr>
          <w:rFonts w:cs="Arial"/>
          <w:color w:val="1F497D"/>
        </w:rPr>
        <w:t xml:space="preserve">accessibility to utilities, internet connectivity, </w:t>
      </w:r>
      <w:r w:rsidR="00BB0D83" w:rsidRPr="000776A2">
        <w:rPr>
          <w:rFonts w:cs="Arial"/>
          <w:color w:val="1F497D"/>
        </w:rPr>
        <w:t>etc.,  all other specific requirements</w:t>
      </w:r>
    </w:p>
    <w:p w14:paraId="02B75CEA" w14:textId="77777777" w:rsidR="00B22F3E" w:rsidRPr="00AA592C" w:rsidRDefault="00B22F3E" w:rsidP="00AA592C">
      <w:pPr>
        <w:ind w:left="360"/>
        <w:rPr>
          <w:rFonts w:cs="Arial"/>
          <w:color w:val="1F497D"/>
        </w:rPr>
      </w:pPr>
    </w:p>
    <w:p w14:paraId="263A2931" w14:textId="77777777" w:rsidR="00EA0F08" w:rsidRDefault="00EA0F08" w:rsidP="00A30DC8">
      <w:pPr>
        <w:ind w:left="360"/>
        <w:jc w:val="both"/>
      </w:pPr>
      <w:r w:rsidRPr="00D77FD2">
        <w:rPr>
          <w:rFonts w:cs="Arial"/>
          <w:b/>
          <w:bCs/>
          <w:color w:val="1F497D"/>
        </w:rPr>
        <w:t xml:space="preserve">Pricing </w:t>
      </w:r>
      <w:r w:rsidRPr="00D77FD2">
        <w:rPr>
          <w:rFonts w:cs="Arial"/>
          <w:color w:val="1F497D"/>
        </w:rPr>
        <w:t>is either Line-Item Pricing or Percentage Discount from Catalog Pricing, or a combination of these:</w:t>
      </w:r>
      <w:r>
        <w:t xml:space="preserve"> </w:t>
      </w:r>
    </w:p>
    <w:p w14:paraId="49199E75" w14:textId="77777777" w:rsidR="00060601" w:rsidRDefault="00EA0F08" w:rsidP="00A30DC8">
      <w:pPr>
        <w:ind w:left="360"/>
        <w:jc w:val="both"/>
      </w:pPr>
      <w:r w:rsidRPr="00D77FD2">
        <w:rPr>
          <w:rFonts w:cs="Arial"/>
          <w:b/>
          <w:bCs/>
          <w:color w:val="1F497D"/>
        </w:rPr>
        <w:t>a. Line-item Pricing</w:t>
      </w:r>
      <w:r>
        <w:t xml:space="preserve"> </w:t>
      </w:r>
      <w:r w:rsidRPr="00D77FD2">
        <w:rPr>
          <w:rFonts w:cs="Arial"/>
          <w:color w:val="1F497D"/>
        </w:rPr>
        <w:t>is pricing based on each individual product or services.  Each line must indicate the proposer’s published “List Price,” as well as the “Contract Price.”</w:t>
      </w:r>
      <w:r>
        <w:t xml:space="preserve"> </w:t>
      </w:r>
    </w:p>
    <w:p w14:paraId="62476954" w14:textId="6A0B2865" w:rsidR="00EA0F08" w:rsidRPr="00D77FD2" w:rsidRDefault="00EA0F08" w:rsidP="00A30DC8">
      <w:pPr>
        <w:ind w:left="360"/>
        <w:jc w:val="both"/>
        <w:rPr>
          <w:rFonts w:cs="Arial"/>
          <w:color w:val="1F497D"/>
        </w:rPr>
      </w:pPr>
      <w:r w:rsidRPr="00D77FD2">
        <w:rPr>
          <w:rFonts w:cs="Arial"/>
          <w:b/>
          <w:bCs/>
          <w:color w:val="1F497D"/>
        </w:rPr>
        <w:t>b. Percentage Discount from Catalog or Category</w:t>
      </w:r>
      <w:r>
        <w:t xml:space="preserve"> </w:t>
      </w:r>
      <w:r w:rsidRPr="00D77FD2">
        <w:rPr>
          <w:rFonts w:cs="Arial"/>
          <w:color w:val="1F497D"/>
        </w:rPr>
        <w:t xml:space="preserve">is based on a percentage discount from a catalog or list price, defined as a published Manufacturer’s Suggested Retail Price (MSRP) for the products or services.  Individualized percentage discounts can be applied to any number of defined product groupings.  </w:t>
      </w:r>
      <w:r w:rsidR="004B0716" w:rsidRPr="00D77FD2">
        <w:rPr>
          <w:rFonts w:cs="Arial"/>
          <w:color w:val="1F497D"/>
        </w:rPr>
        <w:t>Contractors</w:t>
      </w:r>
      <w:r w:rsidRPr="00D77FD2">
        <w:rPr>
          <w:rFonts w:cs="Arial"/>
          <w:color w:val="1F497D"/>
        </w:rPr>
        <w:t xml:space="preserve"> will be responsible for providing and maintaining current published MSRP with Sourcewell, and this pricing must be included provided throughout the term of any contract</w:t>
      </w:r>
      <w:r w:rsidR="004B0716" w:rsidRPr="00D77FD2">
        <w:rPr>
          <w:rFonts w:cs="Arial"/>
          <w:color w:val="1F497D"/>
        </w:rPr>
        <w:t>.</w:t>
      </w:r>
      <w:r w:rsidRPr="00D77FD2">
        <w:rPr>
          <w:rFonts w:cs="Arial"/>
          <w:color w:val="1F497D"/>
        </w:rPr>
        <w:t xml:space="preserve"> </w:t>
      </w:r>
    </w:p>
    <w:p w14:paraId="265921D4" w14:textId="77777777" w:rsidR="00060601" w:rsidRPr="00D77FD2" w:rsidRDefault="00060601" w:rsidP="00A30DC8">
      <w:pPr>
        <w:ind w:left="360"/>
        <w:jc w:val="both"/>
        <w:rPr>
          <w:rFonts w:cs="Arial"/>
          <w:color w:val="1F497D"/>
        </w:rPr>
      </w:pPr>
    </w:p>
    <w:p w14:paraId="663D227B" w14:textId="2C3C5E6E" w:rsidR="00EA0F08" w:rsidRPr="00D77FD2" w:rsidRDefault="00EA0F08" w:rsidP="00060601">
      <w:pPr>
        <w:pStyle w:val="ListParagraph"/>
        <w:numPr>
          <w:ilvl w:val="0"/>
          <w:numId w:val="28"/>
        </w:numPr>
        <w:jc w:val="both"/>
        <w:rPr>
          <w:rFonts w:cs="Arial"/>
          <w:color w:val="1F497D"/>
        </w:rPr>
      </w:pPr>
      <w:r w:rsidRPr="00D77FD2">
        <w:rPr>
          <w:rFonts w:cs="Arial"/>
          <w:color w:val="1F497D"/>
        </w:rPr>
        <w:t xml:space="preserve">The Contractor’s not to exceed price.  A not to exceed price is the highest price for which equipment, products, or services may be billed to a Participating Entity.  However, it is permissible for suppliers to sell at a price that is lower than the contracted price. </w:t>
      </w:r>
    </w:p>
    <w:p w14:paraId="77E17B14" w14:textId="77A4DB8F" w:rsidR="00EA0F08" w:rsidRPr="00D77FD2" w:rsidRDefault="00EA0F08" w:rsidP="00060601">
      <w:pPr>
        <w:pStyle w:val="ListParagraph"/>
        <w:numPr>
          <w:ilvl w:val="0"/>
          <w:numId w:val="28"/>
        </w:numPr>
        <w:jc w:val="both"/>
        <w:rPr>
          <w:rFonts w:cs="Arial"/>
          <w:color w:val="1F497D"/>
        </w:rPr>
      </w:pPr>
      <w:r w:rsidRPr="00D77FD2">
        <w:rPr>
          <w:rFonts w:cs="Arial"/>
          <w:color w:val="1F497D"/>
        </w:rPr>
        <w:t xml:space="preserve">Clearly understandable, complete, and fully describe the total cost of acquisition (e.g., the cost of the proposed equipment, products, and services delivered and operational for its intended purpose in the Participating Entity’s location). </w:t>
      </w:r>
    </w:p>
    <w:p w14:paraId="2C05CA53" w14:textId="77777777" w:rsidR="00EA0F08" w:rsidRPr="00D77FD2" w:rsidRDefault="00EA0F08" w:rsidP="00EA0F08">
      <w:pPr>
        <w:ind w:left="360"/>
        <w:jc w:val="both"/>
        <w:rPr>
          <w:rFonts w:cs="Arial"/>
          <w:color w:val="1F497D"/>
        </w:rPr>
      </w:pPr>
    </w:p>
    <w:p w14:paraId="69B488FC" w14:textId="7145F6C3" w:rsidR="00EA0F08" w:rsidRPr="00D77FD2" w:rsidRDefault="00EA0F08" w:rsidP="00EA0F08">
      <w:pPr>
        <w:ind w:left="360"/>
        <w:jc w:val="both"/>
        <w:rPr>
          <w:rFonts w:cs="Arial"/>
          <w:color w:val="1F497D"/>
        </w:rPr>
      </w:pPr>
      <w:r w:rsidRPr="00D77FD2">
        <w:rPr>
          <w:rFonts w:cs="Arial"/>
          <w:color w:val="1F497D"/>
        </w:rPr>
        <w:t xml:space="preserve">Contractors should clearly identify any costs that are NOT included in the product or service pricing.  This may include items such as installation, set up, mandatory training, or initial inspection. Include identification of any parties that impose such costs and their relationship to the proposer. Additionally, proposers should clearly describe any unique distribution and/or delivery methods or options offered. </w:t>
      </w:r>
    </w:p>
    <w:p w14:paraId="4029EAAB" w14:textId="77777777" w:rsidR="00EA0F08" w:rsidRPr="00AA592C" w:rsidRDefault="00EA0F08" w:rsidP="00A30DC8">
      <w:pPr>
        <w:ind w:left="360"/>
        <w:jc w:val="both"/>
        <w:rPr>
          <w:rFonts w:cs="Arial"/>
          <w:color w:val="1F497D"/>
        </w:rPr>
      </w:pPr>
    </w:p>
    <w:p w14:paraId="53341187" w14:textId="77777777" w:rsidR="00997925" w:rsidRPr="00997925" w:rsidRDefault="00997925" w:rsidP="00997925">
      <w:pPr>
        <w:ind w:left="360"/>
        <w:jc w:val="both"/>
        <w:rPr>
          <w:rFonts w:cs="Arial"/>
          <w:color w:val="1F497D"/>
        </w:rPr>
      </w:pPr>
      <w:r w:rsidRPr="00997925">
        <w:rPr>
          <w:rFonts w:cs="Arial"/>
          <w:b/>
          <w:bCs/>
          <w:color w:val="1F497D"/>
        </w:rPr>
        <w:t>SHIPPING AND SHIPPING COSTS.</w:t>
      </w:r>
      <w:r w:rsidRPr="00997925">
        <w:rPr>
          <w:rFonts w:cs="Arial"/>
          <w:color w:val="1F497D"/>
        </w:rPr>
        <w:t xml:space="preserve">  All delivered Equipment and Products must be properly packaged. Damaged Equipment and Products may be rejected.  If the damage is not readily apparent at the time of delivery, Supplier must permit the Equipment and Products to be returned within a reasonable time at no cost to Sourcewell or its Participating Entities. </w:t>
      </w:r>
    </w:p>
    <w:p w14:paraId="55177010" w14:textId="77777777" w:rsidR="00997925" w:rsidRPr="00997925" w:rsidRDefault="00997925" w:rsidP="00997925">
      <w:pPr>
        <w:ind w:left="360"/>
        <w:jc w:val="both"/>
        <w:rPr>
          <w:rFonts w:cs="Arial"/>
          <w:color w:val="1F497D"/>
        </w:rPr>
      </w:pPr>
    </w:p>
    <w:p w14:paraId="7CBAD327" w14:textId="6587B033" w:rsidR="00997925" w:rsidRPr="00997925" w:rsidRDefault="00997925" w:rsidP="00997925">
      <w:pPr>
        <w:ind w:left="360"/>
        <w:jc w:val="both"/>
        <w:rPr>
          <w:rFonts w:cs="Arial"/>
          <w:color w:val="1F497D"/>
        </w:rPr>
      </w:pPr>
      <w:r w:rsidRPr="00997925">
        <w:rPr>
          <w:rFonts w:cs="Arial"/>
          <w:color w:val="1F497D"/>
        </w:rPr>
        <w:t xml:space="preserve">Participating Entities reserve the right to inspect the Equipment and Products at a reasonable time after delivery where circumstances or conditions prevent effective inspection of the Equipment and Products at the time of delivery.  In the event of the delivery of nonconforming Equipment and Products, the Participating Entity will notify the Supplier as soon as possible and the Supplier will replace nonconforming Equipment and Products with conforming Equipment and Products that are acceptable to the Participating Entity.  Supplier must arrange for and pay for the return shipment on Equipment and Products that arrive in a defective or inoperable condition. </w:t>
      </w:r>
    </w:p>
    <w:p w14:paraId="06D06D62" w14:textId="77777777" w:rsidR="00997925" w:rsidRPr="00997925" w:rsidRDefault="00997925" w:rsidP="00997925">
      <w:pPr>
        <w:ind w:left="360"/>
        <w:jc w:val="both"/>
        <w:rPr>
          <w:rFonts w:cs="Arial"/>
          <w:color w:val="1F497D"/>
        </w:rPr>
      </w:pPr>
    </w:p>
    <w:p w14:paraId="1E0C1D6B" w14:textId="2643819F" w:rsidR="00997925" w:rsidRPr="00997925" w:rsidRDefault="00997925" w:rsidP="00997925">
      <w:pPr>
        <w:ind w:left="360"/>
        <w:jc w:val="both"/>
        <w:rPr>
          <w:rFonts w:cs="Arial"/>
          <w:color w:val="1F497D"/>
        </w:rPr>
      </w:pPr>
      <w:r w:rsidRPr="00997925">
        <w:rPr>
          <w:rFonts w:cs="Arial"/>
          <w:color w:val="1F497D"/>
        </w:rPr>
        <w:t>Sourcewell may declare the Supplier in breach of this Contract if the Supplier intentionally delivers substandard or inferior Equipment or Products</w:t>
      </w:r>
    </w:p>
    <w:p w14:paraId="65F94682" w14:textId="77777777" w:rsidR="00997925" w:rsidRPr="00AA592C" w:rsidRDefault="00997925" w:rsidP="00A30DC8">
      <w:pPr>
        <w:ind w:left="360"/>
        <w:jc w:val="both"/>
        <w:rPr>
          <w:rFonts w:cs="Arial"/>
          <w:color w:val="1F497D"/>
        </w:rPr>
      </w:pPr>
    </w:p>
    <w:p w14:paraId="304760EE" w14:textId="7985257A" w:rsidR="00997925" w:rsidRPr="00997925" w:rsidRDefault="00997925" w:rsidP="00A30DC8">
      <w:pPr>
        <w:ind w:left="360"/>
        <w:jc w:val="both"/>
        <w:rPr>
          <w:rFonts w:cs="Arial"/>
          <w:color w:val="1F497D"/>
        </w:rPr>
      </w:pPr>
      <w:r w:rsidRPr="00997925">
        <w:rPr>
          <w:rFonts w:cs="Arial"/>
          <w:b/>
          <w:bCs/>
          <w:color w:val="1F497D"/>
        </w:rPr>
        <w:t>HOT LIST PRICING.</w:t>
      </w:r>
      <w:r w:rsidRPr="00997925">
        <w:rPr>
          <w:rFonts w:cs="Arial"/>
          <w:color w:val="1F497D"/>
        </w:rPr>
        <w:t xml:space="preserve">  At any time during this Contract, Supplier may offer a specific selection of Equipment, Products, or Services at discounts greater than those listed in the Contract.  When Supplier determines it will offer Hot List Pricing, it must be submitted electronically to Sourcewell in a line-item format. Equipment, Products, or Services may be added or removed from the Hot List at any time through a Sourcewell Price and Product Change Form as defined in Article 4 below.  Hot List program and pricing may also be used to discount and liquidate close-out and discontinued Equipment and Products </w:t>
      </w:r>
      <w:proofErr w:type="gramStart"/>
      <w:r w:rsidRPr="00997925">
        <w:rPr>
          <w:rFonts w:cs="Arial"/>
          <w:color w:val="1F497D"/>
        </w:rPr>
        <w:t>as long as</w:t>
      </w:r>
      <w:proofErr w:type="gramEnd"/>
      <w:r w:rsidRPr="00997925">
        <w:rPr>
          <w:rFonts w:cs="Arial"/>
          <w:color w:val="1F497D"/>
        </w:rPr>
        <w:t xml:space="preserve"> those close-out and discontinued items are clearly identified as such. Current ordering process and administrative fees apply. Hot List Pricing must be published and made available to all Participating Entities. </w:t>
      </w:r>
    </w:p>
    <w:p w14:paraId="2AC68695" w14:textId="77777777" w:rsidR="00997925" w:rsidRPr="00AA592C" w:rsidRDefault="00997925" w:rsidP="00A30DC8">
      <w:pPr>
        <w:ind w:left="360"/>
        <w:jc w:val="both"/>
        <w:rPr>
          <w:rFonts w:cs="Arial"/>
          <w:color w:val="1F497D"/>
        </w:rPr>
      </w:pPr>
    </w:p>
    <w:p w14:paraId="0956C9D7" w14:textId="52C0CA4D" w:rsidR="0033798A" w:rsidRDefault="008F20F7" w:rsidP="008F20F7">
      <w:pPr>
        <w:pStyle w:val="Heading4"/>
        <w:numPr>
          <w:ilvl w:val="0"/>
          <w:numId w:val="1"/>
        </w:numPr>
        <w:ind w:left="360"/>
        <w:jc w:val="both"/>
      </w:pPr>
      <w:r>
        <w:t xml:space="preserve">Does a Purchaser Order have to be submitted?  What </w:t>
      </w:r>
      <w:r w:rsidR="0033798A">
        <w:t xml:space="preserve">information should the </w:t>
      </w:r>
      <w:r>
        <w:t>Purchaser Order contain</w:t>
      </w:r>
      <w:r w:rsidR="0033798A">
        <w:t xml:space="preserve">? </w:t>
      </w:r>
    </w:p>
    <w:p w14:paraId="6189F886" w14:textId="1BFA02E6" w:rsidR="0033798A" w:rsidRDefault="008F20F7" w:rsidP="0033798A">
      <w:pPr>
        <w:ind w:left="360"/>
        <w:rPr>
          <w:rFonts w:cs="Arial"/>
          <w:color w:val="1F497D"/>
        </w:rPr>
      </w:pPr>
      <w:r w:rsidRPr="008F20F7">
        <w:rPr>
          <w:rFonts w:cs="Arial"/>
          <w:b/>
          <w:bCs/>
          <w:color w:val="1F497D"/>
        </w:rPr>
        <w:t>Yes, a Purchase Order is required.</w:t>
      </w:r>
      <w:r>
        <w:rPr>
          <w:rFonts w:cs="Arial"/>
          <w:color w:val="1F497D"/>
        </w:rPr>
        <w:t xml:space="preserve">   </w:t>
      </w:r>
      <w:r w:rsidR="0033798A">
        <w:rPr>
          <w:rFonts w:cs="Arial"/>
          <w:color w:val="1F497D"/>
        </w:rPr>
        <w:t xml:space="preserve">See </w:t>
      </w:r>
      <w:r w:rsidR="0033798A" w:rsidRPr="0033798A">
        <w:rPr>
          <w:rFonts w:cs="Arial"/>
          <w:color w:val="1F497D"/>
        </w:rPr>
        <w:t xml:space="preserve">provision </w:t>
      </w:r>
      <w:r w:rsidR="0033798A" w:rsidRPr="0033798A">
        <w:rPr>
          <w:rFonts w:cs="Arial"/>
          <w:b/>
          <w:bCs/>
          <w:i/>
          <w:iCs/>
          <w:color w:val="1F497D"/>
        </w:rPr>
        <w:t>5.9 Contractor’s Sales</w:t>
      </w:r>
      <w:r w:rsidR="0033798A">
        <w:rPr>
          <w:rFonts w:cs="Arial"/>
          <w:b/>
          <w:bCs/>
          <w:i/>
          <w:iCs/>
          <w:color w:val="1F497D"/>
        </w:rPr>
        <w:t xml:space="preserve"> Authority; Purchase Orders; &amp; </w:t>
      </w:r>
      <w:r w:rsidR="0033798A" w:rsidRPr="0008480F">
        <w:rPr>
          <w:rFonts w:cs="Arial"/>
          <w:b/>
          <w:bCs/>
          <w:i/>
          <w:iCs/>
          <w:color w:val="1F497D"/>
        </w:rPr>
        <w:t>Invoic</w:t>
      </w:r>
      <w:r w:rsidR="0033798A">
        <w:rPr>
          <w:rFonts w:cs="Arial"/>
          <w:b/>
          <w:bCs/>
          <w:i/>
          <w:iCs/>
          <w:color w:val="1F497D"/>
        </w:rPr>
        <w:t>es (b) (page 7)</w:t>
      </w:r>
      <w:r w:rsidR="0033798A">
        <w:rPr>
          <w:rFonts w:cs="Arial"/>
          <w:color w:val="1F497D"/>
        </w:rPr>
        <w:t xml:space="preserve"> detailing </w:t>
      </w:r>
      <w:r w:rsidR="0033798A" w:rsidRPr="0008480F">
        <w:rPr>
          <w:rFonts w:cs="Arial"/>
          <w:color w:val="1F497D"/>
        </w:rPr>
        <w:t>invoic</w:t>
      </w:r>
      <w:r w:rsidR="0033798A">
        <w:rPr>
          <w:rFonts w:cs="Arial"/>
          <w:color w:val="1F497D"/>
        </w:rPr>
        <w:t>e</w:t>
      </w:r>
      <w:r w:rsidR="0033798A" w:rsidRPr="0008480F">
        <w:rPr>
          <w:rFonts w:cs="Arial"/>
          <w:color w:val="1F497D"/>
        </w:rPr>
        <w:t xml:space="preserve"> requirements</w:t>
      </w:r>
      <w:r w:rsidR="0033798A">
        <w:rPr>
          <w:rFonts w:cs="Arial"/>
          <w:color w:val="1F497D"/>
        </w:rPr>
        <w:t>.</w:t>
      </w:r>
    </w:p>
    <w:p w14:paraId="5059FD83" w14:textId="77777777" w:rsidR="008F20F7" w:rsidRPr="008F20F7" w:rsidRDefault="008F20F7" w:rsidP="0033798A">
      <w:pPr>
        <w:ind w:left="360"/>
        <w:rPr>
          <w:rFonts w:cs="Arial"/>
          <w:color w:val="1F497D"/>
        </w:rPr>
      </w:pPr>
    </w:p>
    <w:tbl>
      <w:tblPr>
        <w:tblStyle w:val="TableGrid1"/>
        <w:tblW w:w="8820" w:type="dxa"/>
        <w:tblInd w:w="35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8820"/>
      </w:tblGrid>
      <w:tr w:rsidR="0033798A" w:rsidRPr="00810B08" w14:paraId="53134B46" w14:textId="77777777" w:rsidTr="008B7C42">
        <w:tc>
          <w:tcPr>
            <w:tcW w:w="8820" w:type="dxa"/>
            <w:vAlign w:val="center"/>
          </w:tcPr>
          <w:p w14:paraId="05100819" w14:textId="04537A58" w:rsidR="0033798A" w:rsidRPr="00F51BC4" w:rsidRDefault="0033798A" w:rsidP="008B7C42">
            <w:pPr>
              <w:spacing w:before="80"/>
              <w:ind w:right="720"/>
              <w:rPr>
                <w:rFonts w:eastAsiaTheme="majorEastAsia" w:cs="Arial"/>
                <w:b/>
                <w:bCs/>
                <w:color w:val="1F497D"/>
                <w:lang w:bidi="en-US"/>
              </w:rPr>
            </w:pPr>
            <w:r>
              <w:rPr>
                <w:rFonts w:eastAsiaTheme="majorEastAsia" w:cs="Arial"/>
                <w:b/>
                <w:bCs/>
                <w:color w:val="1F497D"/>
                <w:lang w:bidi="en-US"/>
              </w:rPr>
              <w:t>Purchaser Orders</w:t>
            </w:r>
            <w:r w:rsidRPr="00F51BC4">
              <w:rPr>
                <w:rFonts w:eastAsiaTheme="majorEastAsia" w:cs="Arial"/>
                <w:b/>
                <w:bCs/>
                <w:color w:val="1F497D"/>
                <w:lang w:bidi="en-US"/>
              </w:rPr>
              <w:t xml:space="preserve"> shall</w:t>
            </w:r>
            <w:r>
              <w:rPr>
                <w:rFonts w:eastAsiaTheme="majorEastAsia" w:cs="Arial"/>
                <w:b/>
                <w:bCs/>
                <w:color w:val="1F497D"/>
                <w:lang w:bidi="en-US"/>
              </w:rPr>
              <w:t xml:space="preserve"> contain </w:t>
            </w:r>
            <w:r w:rsidRPr="00F51BC4">
              <w:rPr>
                <w:rFonts w:eastAsiaTheme="majorEastAsia" w:cs="Arial"/>
                <w:b/>
                <w:bCs/>
                <w:color w:val="1F497D"/>
                <w:lang w:bidi="en-US"/>
              </w:rPr>
              <w:t>the following:</w:t>
            </w:r>
          </w:p>
        </w:tc>
      </w:tr>
      <w:tr w:rsidR="0033798A" w:rsidRPr="00810B08" w14:paraId="5576D874" w14:textId="77777777" w:rsidTr="008B7C42">
        <w:tc>
          <w:tcPr>
            <w:tcW w:w="8820" w:type="dxa"/>
            <w:vAlign w:val="center"/>
          </w:tcPr>
          <w:p w14:paraId="263B8C01" w14:textId="77777777" w:rsidR="0033798A" w:rsidRPr="00F51BC4" w:rsidRDefault="0033798A" w:rsidP="008B7C42">
            <w:pPr>
              <w:spacing w:before="80"/>
              <w:ind w:right="720"/>
              <w:rPr>
                <w:rFonts w:cs="Arial"/>
                <w:color w:val="1F497D"/>
              </w:rPr>
            </w:pPr>
            <w:r w:rsidRPr="00F51BC4">
              <w:rPr>
                <w:rFonts w:eastAsiaTheme="majorEastAsia" w:cs="Arial"/>
                <w:color w:val="1F497D"/>
                <w:lang w:bidi="en-US"/>
              </w:rPr>
              <w:t xml:space="preserve">DES Contract No. </w:t>
            </w:r>
            <w:r>
              <w:rPr>
                <w:rFonts w:eastAsiaTheme="majorEastAsia" w:cs="Arial"/>
                <w:b/>
                <w:bCs/>
                <w:color w:val="1F497D"/>
                <w:lang w:bidi="en-US"/>
              </w:rPr>
              <w:t>01124</w:t>
            </w:r>
            <w:r>
              <w:rPr>
                <w:rFonts w:eastAsiaTheme="majorEastAsia" w:cs="Arial"/>
                <w:color w:val="1F497D"/>
                <w:lang w:bidi="en-US"/>
              </w:rPr>
              <w:t xml:space="preserve"> </w:t>
            </w:r>
          </w:p>
        </w:tc>
      </w:tr>
      <w:tr w:rsidR="0033798A" w:rsidRPr="00810B08" w14:paraId="75C5272A" w14:textId="77777777" w:rsidTr="008B7C42">
        <w:tc>
          <w:tcPr>
            <w:tcW w:w="8820" w:type="dxa"/>
            <w:vAlign w:val="center"/>
          </w:tcPr>
          <w:p w14:paraId="4B5ACF07" w14:textId="77777777" w:rsidR="0033798A" w:rsidRPr="00F51BC4" w:rsidRDefault="0033798A" w:rsidP="008B7C42">
            <w:pPr>
              <w:spacing w:before="80"/>
              <w:ind w:right="720"/>
              <w:rPr>
                <w:rFonts w:eastAsiaTheme="majorEastAsia" w:cs="Arial"/>
                <w:color w:val="1F497D"/>
                <w:lang w:bidi="en-US"/>
              </w:rPr>
            </w:pPr>
            <w:r>
              <w:rPr>
                <w:rFonts w:eastAsiaTheme="majorEastAsia" w:cs="Arial"/>
                <w:color w:val="1F497D"/>
                <w:lang w:bidi="en-US"/>
              </w:rPr>
              <w:t xml:space="preserve">Sourcewell Master Agreement </w:t>
            </w:r>
            <w:r w:rsidRPr="00C92026">
              <w:rPr>
                <w:rFonts w:eastAsiaTheme="majorEastAsia" w:cs="Arial"/>
                <w:b/>
                <w:bCs/>
                <w:color w:val="1F497D"/>
                <w:lang w:bidi="en-US"/>
              </w:rPr>
              <w:t xml:space="preserve">#:  </w:t>
            </w:r>
            <w:r>
              <w:rPr>
                <w:rFonts w:eastAsiaTheme="majorEastAsia" w:cs="Arial"/>
                <w:b/>
                <w:bCs/>
                <w:color w:val="1F497D"/>
                <w:lang w:bidi="en-US"/>
              </w:rPr>
              <w:t>120822</w:t>
            </w:r>
            <w:r w:rsidRPr="00C92026">
              <w:rPr>
                <w:rFonts w:eastAsiaTheme="majorEastAsia" w:cs="Arial"/>
                <w:b/>
                <w:bCs/>
                <w:color w:val="1F497D"/>
                <w:lang w:bidi="en-US"/>
              </w:rPr>
              <w:t>-M</w:t>
            </w:r>
            <w:r>
              <w:rPr>
                <w:rFonts w:eastAsiaTheme="majorEastAsia" w:cs="Arial"/>
                <w:b/>
                <w:bCs/>
                <w:color w:val="1F497D"/>
                <w:lang w:bidi="en-US"/>
              </w:rPr>
              <w:t>MR</w:t>
            </w:r>
          </w:p>
        </w:tc>
      </w:tr>
      <w:tr w:rsidR="0033798A" w:rsidRPr="00810B08" w14:paraId="6E0CF0D9" w14:textId="77777777" w:rsidTr="008B7C42">
        <w:tc>
          <w:tcPr>
            <w:tcW w:w="8820" w:type="dxa"/>
            <w:vAlign w:val="center"/>
          </w:tcPr>
          <w:p w14:paraId="00C9773D" w14:textId="77777777" w:rsidR="0033798A" w:rsidRDefault="0033798A" w:rsidP="0033798A">
            <w:pPr>
              <w:spacing w:before="60" w:after="60"/>
              <w:rPr>
                <w:rFonts w:eastAsiaTheme="majorEastAsia" w:cs="Arial"/>
                <w:color w:val="1F497D"/>
                <w:lang w:bidi="en-US"/>
              </w:rPr>
            </w:pPr>
            <w:r>
              <w:rPr>
                <w:rFonts w:eastAsiaTheme="majorEastAsia" w:cs="Arial"/>
                <w:color w:val="1F497D"/>
                <w:lang w:bidi="en-US"/>
              </w:rPr>
              <w:t xml:space="preserve">Applicable </w:t>
            </w:r>
            <w:r w:rsidRPr="00F51BC4">
              <w:rPr>
                <w:rFonts w:eastAsiaTheme="majorEastAsia" w:cs="Arial"/>
                <w:color w:val="1F497D"/>
                <w:lang w:bidi="en-US"/>
              </w:rPr>
              <w:t>Purchaser’s Purchaser Order No.</w:t>
            </w:r>
            <w:r>
              <w:rPr>
                <w:rFonts w:eastAsiaTheme="majorEastAsia" w:cs="Arial"/>
                <w:color w:val="1F497D"/>
                <w:lang w:bidi="en-US"/>
              </w:rPr>
              <w:t xml:space="preserve"> and Purchaser’s Contact information: </w:t>
            </w:r>
          </w:p>
          <w:p w14:paraId="277C7E7B" w14:textId="4BF0000E" w:rsidR="0033798A" w:rsidRPr="00F51BC4" w:rsidRDefault="0033798A" w:rsidP="0033798A">
            <w:pPr>
              <w:spacing w:before="60" w:after="60"/>
              <w:rPr>
                <w:rFonts w:eastAsiaTheme="majorEastAsia" w:cs="Arial"/>
                <w:color w:val="1F497D"/>
                <w:lang w:bidi="en-US"/>
              </w:rPr>
            </w:pPr>
            <w:r>
              <w:rPr>
                <w:rFonts w:eastAsiaTheme="majorEastAsia" w:cs="Arial"/>
                <w:color w:val="1F497D"/>
                <w:lang w:bidi="en-US"/>
              </w:rPr>
              <w:t xml:space="preserve"> </w:t>
            </w:r>
            <w:proofErr w:type="spellStart"/>
            <w:r>
              <w:rPr>
                <w:rFonts w:eastAsiaTheme="majorEastAsia" w:cs="Arial"/>
                <w:color w:val="1F497D"/>
                <w:lang w:bidi="en-US"/>
              </w:rPr>
              <w:t>i.e</w:t>
            </w:r>
            <w:proofErr w:type="spellEnd"/>
            <w:r w:rsidRPr="00F51BC4">
              <w:rPr>
                <w:rFonts w:eastAsiaTheme="majorEastAsia" w:cs="Arial"/>
                <w:color w:val="1F497D"/>
                <w:lang w:bidi="en-US"/>
              </w:rPr>
              <w:t xml:space="preserve"> name, </w:t>
            </w:r>
            <w:r>
              <w:rPr>
                <w:rFonts w:eastAsiaTheme="majorEastAsia" w:cs="Arial"/>
                <w:color w:val="1F497D"/>
                <w:lang w:bidi="en-US"/>
              </w:rPr>
              <w:t xml:space="preserve">invoicing </w:t>
            </w:r>
            <w:r w:rsidRPr="00F51BC4">
              <w:rPr>
                <w:rFonts w:eastAsiaTheme="majorEastAsia" w:cs="Arial"/>
                <w:color w:val="1F497D"/>
                <w:lang w:bidi="en-US"/>
              </w:rPr>
              <w:t>address</w:t>
            </w:r>
            <w:r>
              <w:rPr>
                <w:rFonts w:eastAsiaTheme="majorEastAsia" w:cs="Arial"/>
                <w:color w:val="1F497D"/>
                <w:lang w:bidi="en-US"/>
              </w:rPr>
              <w:t>, delivery address</w:t>
            </w:r>
            <w:r w:rsidRPr="00F51BC4">
              <w:rPr>
                <w:rFonts w:eastAsiaTheme="majorEastAsia" w:cs="Arial"/>
                <w:color w:val="1F497D"/>
                <w:lang w:bidi="en-US"/>
              </w:rPr>
              <w:t xml:space="preserve">; </w:t>
            </w:r>
            <w:r>
              <w:rPr>
                <w:rFonts w:eastAsiaTheme="majorEastAsia" w:cs="Arial"/>
                <w:color w:val="1F497D"/>
                <w:lang w:bidi="en-US"/>
              </w:rPr>
              <w:t xml:space="preserve">delivery contact person, telephone number, </w:t>
            </w:r>
            <w:r w:rsidRPr="00F51BC4">
              <w:rPr>
                <w:rFonts w:eastAsiaTheme="majorEastAsia" w:cs="Arial"/>
                <w:color w:val="1F497D"/>
                <w:lang w:bidi="en-US"/>
              </w:rPr>
              <w:t>email address</w:t>
            </w:r>
            <w:r>
              <w:rPr>
                <w:rFonts w:eastAsiaTheme="majorEastAsia" w:cs="Arial"/>
                <w:color w:val="1F497D"/>
                <w:lang w:bidi="en-US"/>
              </w:rPr>
              <w:t>, etc.)</w:t>
            </w:r>
          </w:p>
        </w:tc>
      </w:tr>
      <w:tr w:rsidR="0033798A" w:rsidRPr="00810B08" w14:paraId="47CF505F" w14:textId="77777777" w:rsidTr="008B7C42">
        <w:tc>
          <w:tcPr>
            <w:tcW w:w="8820" w:type="dxa"/>
            <w:vAlign w:val="center"/>
          </w:tcPr>
          <w:p w14:paraId="53037C95" w14:textId="0EF6598A" w:rsidR="0033798A" w:rsidRPr="00F51BC4" w:rsidRDefault="0033798A" w:rsidP="0033798A">
            <w:pPr>
              <w:spacing w:before="60" w:after="60"/>
              <w:rPr>
                <w:rFonts w:eastAsiaTheme="majorEastAsia" w:cs="Arial"/>
                <w:color w:val="1F497D"/>
                <w:lang w:bidi="en-US"/>
              </w:rPr>
            </w:pPr>
            <w:r>
              <w:rPr>
                <w:rFonts w:eastAsiaTheme="majorEastAsia" w:cs="Arial"/>
                <w:color w:val="1F497D"/>
                <w:lang w:bidi="en-US"/>
              </w:rPr>
              <w:t>Purchaser Order amount</w:t>
            </w:r>
            <w:r w:rsidR="00C728C3">
              <w:rPr>
                <w:rFonts w:eastAsiaTheme="majorEastAsia" w:cs="Arial"/>
                <w:color w:val="1F497D"/>
                <w:lang w:bidi="en-US"/>
              </w:rPr>
              <w:t xml:space="preserve"> (including applicable sales tax)</w:t>
            </w:r>
          </w:p>
        </w:tc>
      </w:tr>
    </w:tbl>
    <w:p w14:paraId="054A2AC0" w14:textId="77777777" w:rsidR="0033798A" w:rsidRPr="0033798A" w:rsidRDefault="0033798A" w:rsidP="0033798A"/>
    <w:p w14:paraId="2F59BC83" w14:textId="2B7953D6" w:rsidR="00D125F3" w:rsidRPr="0004728C" w:rsidRDefault="00D125F3" w:rsidP="00D125F3">
      <w:pPr>
        <w:pStyle w:val="Heading4"/>
        <w:numPr>
          <w:ilvl w:val="0"/>
          <w:numId w:val="1"/>
        </w:numPr>
        <w:spacing w:line="240" w:lineRule="auto"/>
        <w:ind w:left="360" w:hanging="540"/>
        <w:jc w:val="both"/>
      </w:pPr>
      <w:r w:rsidRPr="0004728C">
        <w:t xml:space="preserve">Are there any templates that </w:t>
      </w:r>
      <w:r w:rsidR="002C6224">
        <w:t>P</w:t>
      </w:r>
      <w:r w:rsidRPr="0004728C">
        <w:t>urchasers can use to engage awarded contractors?</w:t>
      </w:r>
    </w:p>
    <w:p w14:paraId="3A4FE537" w14:textId="4767DFD3" w:rsidR="00D125F3" w:rsidRPr="003A7D41" w:rsidRDefault="00D125F3" w:rsidP="00C21F03">
      <w:pPr>
        <w:ind w:left="360"/>
        <w:jc w:val="both"/>
        <w:rPr>
          <w:rFonts w:cs="Arial"/>
          <w:color w:val="1F497D"/>
        </w:rPr>
      </w:pPr>
      <w:r w:rsidRPr="00667A27">
        <w:rPr>
          <w:rFonts w:cs="Arial"/>
          <w:color w:val="1F497D"/>
        </w:rPr>
        <w:t xml:space="preserve">Enterprise Services has provided </w:t>
      </w:r>
      <w:r w:rsidR="002C6224" w:rsidRPr="00667A27">
        <w:rPr>
          <w:rFonts w:cs="Arial"/>
          <w:color w:val="1F497D"/>
        </w:rPr>
        <w:t xml:space="preserve">a </w:t>
      </w:r>
      <w:hyperlink r:id="rId12" w:history="1">
        <w:r w:rsidR="002C6224" w:rsidRPr="00FF5116">
          <w:rPr>
            <w:rStyle w:val="Hyperlink"/>
            <w:rFonts w:cs="Arial"/>
          </w:rPr>
          <w:t>Guidelines &amp; Suggestions document</w:t>
        </w:r>
      </w:hyperlink>
      <w:r w:rsidRPr="00667A27">
        <w:rPr>
          <w:rFonts w:cs="Arial"/>
          <w:color w:val="1F497D"/>
        </w:rPr>
        <w:t xml:space="preserve"> as a resource for purchasers to use, if needed, when </w:t>
      </w:r>
      <w:r w:rsidR="002C6224" w:rsidRPr="00667A27">
        <w:rPr>
          <w:rFonts w:cs="Arial"/>
          <w:color w:val="1F497D"/>
        </w:rPr>
        <w:t>requesting estimate/proposals from</w:t>
      </w:r>
      <w:r w:rsidRPr="00667A27">
        <w:rPr>
          <w:rFonts w:cs="Arial"/>
          <w:color w:val="1F497D"/>
        </w:rPr>
        <w:t xml:space="preserve"> potential contractors.  The </w:t>
      </w:r>
      <w:r w:rsidR="002C6224" w:rsidRPr="00667A27">
        <w:rPr>
          <w:rFonts w:cs="Arial"/>
          <w:color w:val="1F497D"/>
        </w:rPr>
        <w:t xml:space="preserve">Guidelines &amp; </w:t>
      </w:r>
      <w:r w:rsidR="002C6224" w:rsidRPr="009C51D2">
        <w:rPr>
          <w:rFonts w:cs="Arial"/>
          <w:color w:val="1F497D"/>
        </w:rPr>
        <w:t xml:space="preserve">Suggestions </w:t>
      </w:r>
      <w:r w:rsidR="009C51D2" w:rsidRPr="009C51D2">
        <w:rPr>
          <w:rFonts w:cs="Arial"/>
          <w:color w:val="1F497D"/>
        </w:rPr>
        <w:t>documents is also</w:t>
      </w:r>
      <w:r w:rsidRPr="009C51D2">
        <w:rPr>
          <w:rFonts w:cs="Arial"/>
          <w:color w:val="1F497D"/>
        </w:rPr>
        <w:t xml:space="preserve"> available in the resources drop-down menu on the contract summary page</w:t>
      </w:r>
      <w:r w:rsidRPr="003A7D41">
        <w:rPr>
          <w:rFonts w:cs="Arial"/>
          <w:color w:val="1F497D"/>
        </w:rPr>
        <w:t xml:space="preserve">.  </w:t>
      </w:r>
    </w:p>
    <w:p w14:paraId="1C1288AE" w14:textId="77777777" w:rsidR="00C21F03" w:rsidRPr="00C21F03" w:rsidRDefault="00C21F03" w:rsidP="00C21F03">
      <w:pPr>
        <w:ind w:left="360"/>
        <w:jc w:val="both"/>
        <w:rPr>
          <w:rFonts w:cs="Arial"/>
          <w:color w:val="1F497D"/>
        </w:rPr>
      </w:pPr>
    </w:p>
    <w:p w14:paraId="7220F1F6" w14:textId="45F9BA26" w:rsidR="00BC45E1" w:rsidRPr="005755A7" w:rsidRDefault="00D125F3" w:rsidP="00BC45E1">
      <w:pPr>
        <w:pStyle w:val="Heading4"/>
        <w:numPr>
          <w:ilvl w:val="0"/>
          <w:numId w:val="1"/>
        </w:numPr>
        <w:ind w:left="360"/>
        <w:jc w:val="both"/>
      </w:pPr>
      <w:r>
        <w:t>W</w:t>
      </w:r>
      <w:r w:rsidR="00BC45E1" w:rsidRPr="005755A7">
        <w:t xml:space="preserve">hat are key performance commitments from </w:t>
      </w:r>
      <w:r w:rsidR="002C6224">
        <w:t>C</w:t>
      </w:r>
      <w:r w:rsidR="00BC45E1" w:rsidRPr="005755A7">
        <w:t xml:space="preserve">ontractors </w:t>
      </w:r>
      <w:r w:rsidR="00BC45E1" w:rsidRPr="005755A7">
        <w:rPr>
          <w:color w:val="000000"/>
        </w:rPr>
        <w:t>(e.g. quote timeliness, services, invoicing, emergency services, etc.)</w:t>
      </w:r>
      <w:r w:rsidR="00BC45E1" w:rsidRPr="005755A7">
        <w:t>?</w:t>
      </w:r>
    </w:p>
    <w:p w14:paraId="4632BD02" w14:textId="4E322366" w:rsidR="0004728C" w:rsidRPr="00822B83" w:rsidRDefault="00822B83" w:rsidP="00822B83">
      <w:pPr>
        <w:ind w:left="360"/>
        <w:jc w:val="both"/>
        <w:rPr>
          <w:rFonts w:cs="Arial"/>
          <w:color w:val="1F497D"/>
        </w:rPr>
      </w:pPr>
      <w:r w:rsidRPr="00822B83">
        <w:rPr>
          <w:rFonts w:cs="Arial"/>
          <w:color w:val="1F497D"/>
        </w:rPr>
        <w:t xml:space="preserve">This </w:t>
      </w:r>
      <w:r w:rsidR="00ED74F1">
        <w:rPr>
          <w:rFonts w:cs="Arial"/>
          <w:color w:val="1F497D"/>
        </w:rPr>
        <w:t>Cooperative Contract</w:t>
      </w:r>
      <w:r>
        <w:rPr>
          <w:rFonts w:cs="Arial"/>
          <w:color w:val="1F497D"/>
        </w:rPr>
        <w:t xml:space="preserve"> </w:t>
      </w:r>
      <w:r w:rsidRPr="00822B83">
        <w:rPr>
          <w:rFonts w:cs="Arial"/>
          <w:color w:val="1F497D"/>
        </w:rPr>
        <w:t xml:space="preserve">establishes coverage for the service and supply of </w:t>
      </w:r>
      <w:r w:rsidR="0031696F">
        <w:rPr>
          <w:rFonts w:cs="Arial"/>
          <w:color w:val="1F497D"/>
        </w:rPr>
        <w:t>Relocatable Buildings &amp; Storage Solutions</w:t>
      </w:r>
      <w:r w:rsidRPr="00822B83">
        <w:rPr>
          <w:rFonts w:cs="Arial"/>
          <w:color w:val="1F497D"/>
        </w:rPr>
        <w:t xml:space="preserve"> which includes </w:t>
      </w:r>
      <w:hyperlink r:id="rId13" w:anchor="tab-products-and-services" w:history="1">
        <w:r w:rsidR="00BE031E">
          <w:rPr>
            <w:rFonts w:cs="Arial"/>
            <w:color w:val="1F497D"/>
          </w:rPr>
          <w:t>temporary</w:t>
        </w:r>
      </w:hyperlink>
      <w:r w:rsidR="00BE031E">
        <w:rPr>
          <w:color w:val="1F497D"/>
        </w:rPr>
        <w:t xml:space="preserve"> modular offices, permanent modular offices, modular SCIF, modular dormitories, prefabricated multi-story, modular classrooms, modular kitchen, portable container, modular swing space, relocatable modular buildings, and blast resistant modulars, </w:t>
      </w:r>
      <w:r w:rsidR="00E513FC" w:rsidRPr="00491C49">
        <w:rPr>
          <w:rFonts w:cs="Arial"/>
          <w:color w:val="1F497D"/>
        </w:rPr>
        <w:t>however</w:t>
      </w:r>
      <w:r w:rsidRPr="00822B83">
        <w:rPr>
          <w:rFonts w:cs="Arial"/>
          <w:color w:val="1F497D"/>
        </w:rPr>
        <w:t xml:space="preserve"> not limited to </w:t>
      </w:r>
      <w:r w:rsidR="0031696F">
        <w:rPr>
          <w:rFonts w:cs="Arial"/>
          <w:color w:val="1F497D"/>
        </w:rPr>
        <w:t>r</w:t>
      </w:r>
      <w:r w:rsidR="0031696F" w:rsidRPr="00491C49">
        <w:rPr>
          <w:rFonts w:cs="Arial"/>
          <w:color w:val="1F497D"/>
        </w:rPr>
        <w:t xml:space="preserve">elocatable, demountable, portable, modular, temporary, and reusable buildings or storage </w:t>
      </w:r>
      <w:r w:rsidRPr="00822B83">
        <w:rPr>
          <w:rFonts w:cs="Arial"/>
          <w:color w:val="1F497D"/>
        </w:rPr>
        <w:t>and related services</w:t>
      </w:r>
      <w:r w:rsidR="0031696F">
        <w:rPr>
          <w:rFonts w:cs="Arial"/>
          <w:color w:val="1F497D"/>
        </w:rPr>
        <w:t xml:space="preserve"> </w:t>
      </w:r>
      <w:r w:rsidR="0031696F" w:rsidRPr="00491C49">
        <w:rPr>
          <w:rFonts w:cs="Arial"/>
          <w:color w:val="1F497D"/>
        </w:rPr>
        <w:t>related to the offerings such as:  assembly, disassembly, upkeep, repair, maintenance, leasing, rental, delivery, and transportation of the building or storage solutions</w:t>
      </w:r>
      <w:r w:rsidRPr="00822B83">
        <w:rPr>
          <w:rFonts w:cs="Arial"/>
          <w:color w:val="1F497D"/>
        </w:rPr>
        <w:t>.</w:t>
      </w:r>
      <w:r w:rsidR="0031696F">
        <w:rPr>
          <w:rFonts w:cs="Arial"/>
          <w:color w:val="1F497D"/>
        </w:rPr>
        <w:t xml:space="preserve">  </w:t>
      </w:r>
      <w:r w:rsidR="0031696F" w:rsidRPr="00491C49">
        <w:rPr>
          <w:rFonts w:cs="Arial"/>
          <w:color w:val="1F497D"/>
        </w:rPr>
        <w:t>Contractors may include related equipment, accessories, and services to the extent that these solutions are complementary to the equipment, products, or service(s).</w:t>
      </w:r>
    </w:p>
    <w:p w14:paraId="38F59874" w14:textId="77777777" w:rsidR="0031696F" w:rsidRPr="00491C49" w:rsidRDefault="0031696F" w:rsidP="0031696F">
      <w:pPr>
        <w:ind w:left="360"/>
        <w:jc w:val="both"/>
        <w:rPr>
          <w:rFonts w:cs="Arial"/>
          <w:color w:val="1F497D"/>
        </w:rPr>
      </w:pPr>
    </w:p>
    <w:p w14:paraId="3DFC4DC5" w14:textId="06FE73F6" w:rsidR="0031696F" w:rsidRPr="00491C49" w:rsidRDefault="0031696F" w:rsidP="0031696F">
      <w:pPr>
        <w:ind w:left="360"/>
        <w:jc w:val="both"/>
        <w:rPr>
          <w:rFonts w:cs="Arial"/>
          <w:color w:val="1F497D"/>
        </w:rPr>
      </w:pPr>
      <w:r w:rsidRPr="00491C49">
        <w:rPr>
          <w:rFonts w:cs="Arial"/>
          <w:color w:val="1F497D"/>
        </w:rPr>
        <w:t xml:space="preserve">It is expected that Contractors have knowledge of all applicable industry standards, laws, and regulations and possess an ability to market and distribute the equipment, products, or services to </w:t>
      </w:r>
      <w:r w:rsidR="00394531">
        <w:rPr>
          <w:rFonts w:cs="Arial"/>
          <w:color w:val="1F497D"/>
        </w:rPr>
        <w:t xml:space="preserve">Purchasers and/or </w:t>
      </w:r>
      <w:r w:rsidRPr="00491C49">
        <w:rPr>
          <w:rFonts w:cs="Arial"/>
          <w:color w:val="1F497D"/>
        </w:rPr>
        <w:t xml:space="preserve">Participating Entities. </w:t>
      </w:r>
    </w:p>
    <w:p w14:paraId="17F52C6E" w14:textId="77777777" w:rsidR="0031696F" w:rsidRPr="00491C49" w:rsidRDefault="0031696F" w:rsidP="00C21F03">
      <w:pPr>
        <w:autoSpaceDE w:val="0"/>
        <w:autoSpaceDN w:val="0"/>
        <w:adjustRightInd w:val="0"/>
        <w:ind w:firstLine="360"/>
        <w:rPr>
          <w:rFonts w:cs="Arial"/>
          <w:color w:val="1F497D"/>
        </w:rPr>
      </w:pPr>
    </w:p>
    <w:p w14:paraId="6E205FB2" w14:textId="762CA736" w:rsidR="0031696F" w:rsidRPr="00491C49" w:rsidRDefault="0031696F" w:rsidP="00E84654">
      <w:pPr>
        <w:pStyle w:val="ListParagraph"/>
        <w:numPr>
          <w:ilvl w:val="0"/>
          <w:numId w:val="26"/>
        </w:numPr>
        <w:jc w:val="both"/>
        <w:rPr>
          <w:rFonts w:cs="Arial"/>
          <w:color w:val="1F497D"/>
        </w:rPr>
      </w:pPr>
      <w:r w:rsidRPr="00491C49">
        <w:rPr>
          <w:rFonts w:cs="Arial"/>
          <w:b/>
          <w:bCs/>
          <w:color w:val="1F497D"/>
        </w:rPr>
        <w:t>Safety Requirements.</w:t>
      </w:r>
      <w:r w:rsidRPr="00491C49">
        <w:rPr>
          <w:rFonts w:cs="Arial"/>
          <w:color w:val="1F497D"/>
        </w:rPr>
        <w:t xml:space="preserve"> </w:t>
      </w:r>
      <w:r w:rsidR="00491C49">
        <w:rPr>
          <w:rFonts w:cs="Arial"/>
          <w:color w:val="1F497D"/>
        </w:rPr>
        <w:t xml:space="preserve"> </w:t>
      </w:r>
      <w:r w:rsidRPr="00491C49">
        <w:rPr>
          <w:rFonts w:cs="Arial"/>
          <w:color w:val="1F497D"/>
        </w:rPr>
        <w:t xml:space="preserve">All items proposed must comply with current applicable safety or regulatory standards or codes. </w:t>
      </w:r>
    </w:p>
    <w:p w14:paraId="16603ADB" w14:textId="5312CA91" w:rsidR="0031696F" w:rsidRPr="00491C49" w:rsidRDefault="0031696F" w:rsidP="00E84654">
      <w:pPr>
        <w:pStyle w:val="ListParagraph"/>
        <w:numPr>
          <w:ilvl w:val="0"/>
          <w:numId w:val="26"/>
        </w:numPr>
        <w:jc w:val="both"/>
        <w:rPr>
          <w:rFonts w:cs="Arial"/>
          <w:color w:val="1F497D"/>
        </w:rPr>
      </w:pPr>
      <w:r w:rsidRPr="00491C49">
        <w:rPr>
          <w:rFonts w:cs="Arial"/>
          <w:b/>
          <w:bCs/>
          <w:color w:val="1F497D"/>
        </w:rPr>
        <w:t>Deviation from Industry Standards</w:t>
      </w:r>
      <w:r w:rsidRPr="00491C49">
        <w:rPr>
          <w:rFonts w:cs="Arial"/>
          <w:color w:val="1F497D"/>
        </w:rPr>
        <w:t xml:space="preserve">.  Deviations from industry standards must be identified with an explanation of how the equipment, products, and services will provide equivalent function, coverage, performance, and/or related services. </w:t>
      </w:r>
    </w:p>
    <w:p w14:paraId="1F787D26" w14:textId="6A15E101" w:rsidR="0031696F" w:rsidRPr="00491C49" w:rsidRDefault="0031696F" w:rsidP="00E84654">
      <w:pPr>
        <w:pStyle w:val="ListParagraph"/>
        <w:numPr>
          <w:ilvl w:val="0"/>
          <w:numId w:val="26"/>
        </w:numPr>
        <w:jc w:val="both"/>
        <w:rPr>
          <w:rFonts w:cs="Arial"/>
          <w:color w:val="1F497D"/>
        </w:rPr>
      </w:pPr>
      <w:r w:rsidRPr="00491C49">
        <w:rPr>
          <w:rFonts w:cs="Arial"/>
          <w:b/>
          <w:bCs/>
          <w:color w:val="1F497D"/>
        </w:rPr>
        <w:t>New Equipment and Products.</w:t>
      </w:r>
      <w:r w:rsidRPr="00491C49">
        <w:rPr>
          <w:rFonts w:cs="Arial"/>
          <w:color w:val="1F497D"/>
        </w:rPr>
        <w:t xml:space="preserve"> </w:t>
      </w:r>
      <w:r w:rsidR="00491C49">
        <w:rPr>
          <w:rFonts w:cs="Arial"/>
          <w:color w:val="1F497D"/>
        </w:rPr>
        <w:t xml:space="preserve"> </w:t>
      </w:r>
      <w:r w:rsidRPr="00491C49">
        <w:rPr>
          <w:rFonts w:cs="Arial"/>
          <w:color w:val="1F497D"/>
        </w:rPr>
        <w:t xml:space="preserve">Proposed equipment and products must be for new, current </w:t>
      </w:r>
      <w:r w:rsidR="00491C49">
        <w:rPr>
          <w:rFonts w:cs="Arial"/>
          <w:color w:val="1F497D"/>
        </w:rPr>
        <w:t>models</w:t>
      </w:r>
      <w:r w:rsidRPr="00491C49">
        <w:rPr>
          <w:rFonts w:cs="Arial"/>
          <w:color w:val="1F497D"/>
        </w:rPr>
        <w:t xml:space="preserve">; however, Contractor may offer certain close-out equipment or products if it is specifically noted in the Pricing. </w:t>
      </w:r>
    </w:p>
    <w:p w14:paraId="1C958491" w14:textId="510D1367" w:rsidR="0031696F" w:rsidRPr="00491C49" w:rsidRDefault="0031696F" w:rsidP="00E84654">
      <w:pPr>
        <w:pStyle w:val="ListParagraph"/>
        <w:numPr>
          <w:ilvl w:val="0"/>
          <w:numId w:val="25"/>
        </w:numPr>
        <w:jc w:val="both"/>
        <w:rPr>
          <w:rFonts w:cs="Arial"/>
          <w:color w:val="1F497D"/>
        </w:rPr>
      </w:pPr>
      <w:r w:rsidRPr="00491C49">
        <w:rPr>
          <w:rFonts w:cs="Arial"/>
          <w:b/>
          <w:bCs/>
          <w:color w:val="1F497D"/>
        </w:rPr>
        <w:t>Delivered and operational.</w:t>
      </w:r>
      <w:r w:rsidRPr="00491C49">
        <w:rPr>
          <w:rFonts w:cs="Arial"/>
          <w:color w:val="1F497D"/>
        </w:rPr>
        <w:t xml:space="preserve">  Unless clearly noted in the proposal, equipment and products must be delivered to the Participating Entity as operational. </w:t>
      </w:r>
    </w:p>
    <w:p w14:paraId="27C2E87E" w14:textId="531CF863" w:rsidR="0031696F" w:rsidRPr="00491C49" w:rsidRDefault="0031696F" w:rsidP="00E84654">
      <w:pPr>
        <w:pStyle w:val="ListParagraph"/>
        <w:numPr>
          <w:ilvl w:val="0"/>
          <w:numId w:val="25"/>
        </w:numPr>
        <w:jc w:val="both"/>
        <w:rPr>
          <w:rFonts w:cs="Arial"/>
          <w:color w:val="1F497D"/>
        </w:rPr>
      </w:pPr>
      <w:r w:rsidRPr="00491C49">
        <w:rPr>
          <w:rFonts w:cs="Arial"/>
          <w:b/>
          <w:bCs/>
          <w:color w:val="1F497D"/>
        </w:rPr>
        <w:t>Warranty</w:t>
      </w:r>
      <w:r w:rsidRPr="00491C49">
        <w:rPr>
          <w:rFonts w:cs="Arial"/>
          <w:color w:val="1F497D"/>
        </w:rPr>
        <w:t xml:space="preserve">. </w:t>
      </w:r>
      <w:r w:rsidR="00491C49">
        <w:rPr>
          <w:rFonts w:cs="Arial"/>
          <w:color w:val="1F497D"/>
        </w:rPr>
        <w:t xml:space="preserve"> </w:t>
      </w:r>
      <w:r w:rsidRPr="00491C49">
        <w:rPr>
          <w:rFonts w:cs="Arial"/>
          <w:color w:val="1F497D"/>
        </w:rPr>
        <w:t>All equipment, products, supplies, and services must be covered by a warranty that is the industry standard or better.</w:t>
      </w:r>
    </w:p>
    <w:p w14:paraId="62C5C3D2" w14:textId="77777777" w:rsidR="0031696F" w:rsidRPr="00C21F03" w:rsidRDefault="0031696F" w:rsidP="00C21F03">
      <w:pPr>
        <w:autoSpaceDE w:val="0"/>
        <w:autoSpaceDN w:val="0"/>
        <w:adjustRightInd w:val="0"/>
        <w:ind w:firstLine="360"/>
        <w:rPr>
          <w:rFonts w:cs="Arial"/>
          <w:color w:val="1F497D"/>
        </w:rPr>
      </w:pPr>
    </w:p>
    <w:p w14:paraId="5D1CA9C9" w14:textId="19470D15" w:rsidR="004B006B" w:rsidRPr="00D50716" w:rsidRDefault="001742AE" w:rsidP="004B006B">
      <w:pPr>
        <w:ind w:left="360"/>
        <w:jc w:val="both"/>
        <w:rPr>
          <w:rFonts w:cs="Arial"/>
          <w:b/>
          <w:bCs/>
          <w:color w:val="1F497D"/>
        </w:rPr>
      </w:pPr>
      <w:proofErr w:type="spellStart"/>
      <w:r w:rsidRPr="00D50716">
        <w:rPr>
          <w:rFonts w:cs="Arial"/>
          <w:b/>
          <w:bCs/>
          <w:color w:val="1F497D"/>
        </w:rPr>
        <w:t>SOURCEWELL’S</w:t>
      </w:r>
      <w:proofErr w:type="spellEnd"/>
      <w:r w:rsidR="004B006B" w:rsidRPr="00D50716">
        <w:rPr>
          <w:rFonts w:cs="Arial"/>
          <w:b/>
          <w:bCs/>
          <w:color w:val="1F497D"/>
        </w:rPr>
        <w:t xml:space="preserve"> TERM:</w:t>
      </w:r>
    </w:p>
    <w:p w14:paraId="09BDC947" w14:textId="423E8038" w:rsidR="00D50716" w:rsidRDefault="00514E61" w:rsidP="004B006B">
      <w:pPr>
        <w:ind w:left="360"/>
        <w:jc w:val="both"/>
      </w:pPr>
      <w:hyperlink r:id="rId14" w:history="1">
        <w:r w:rsidR="004B006B" w:rsidRPr="00774A5C">
          <w:rPr>
            <w:rStyle w:val="Hyperlink"/>
            <w:b/>
            <w:bCs/>
          </w:rPr>
          <w:t>EXPIRATION DATE AND EXTENSION</w:t>
        </w:r>
      </w:hyperlink>
      <w:r w:rsidR="00AD7621">
        <w:rPr>
          <w:b/>
          <w:bCs/>
        </w:rPr>
        <w:t xml:space="preserve"> (link)</w:t>
      </w:r>
      <w:r w:rsidR="004B006B" w:rsidRPr="004B006B">
        <w:rPr>
          <w:b/>
          <w:bCs/>
        </w:rPr>
        <w:t>.</w:t>
      </w:r>
      <w:r w:rsidR="004B006B">
        <w:t xml:space="preserve">  </w:t>
      </w:r>
      <w:r w:rsidR="004B006B" w:rsidRPr="00D50716">
        <w:rPr>
          <w:rFonts w:cs="Arial"/>
          <w:color w:val="1F497D"/>
        </w:rPr>
        <w:t xml:space="preserve">This Contract expires February 24, 2027, unless it is cancelled sooner pursuant to Article 22. </w:t>
      </w:r>
      <w:r w:rsidR="00D50716" w:rsidRPr="00D50716">
        <w:rPr>
          <w:rFonts w:cs="Arial"/>
          <w:color w:val="1F497D"/>
        </w:rPr>
        <w:t xml:space="preserve"> </w:t>
      </w:r>
      <w:r w:rsidR="004B006B" w:rsidRPr="00D50716">
        <w:rPr>
          <w:rFonts w:cs="Arial"/>
          <w:color w:val="1F497D"/>
        </w:rPr>
        <w:t>This Contract may be extended one additional year upon the request of Sourcewell and written agreement by Supplier.</w:t>
      </w:r>
      <w:r w:rsidR="004B006B">
        <w:t xml:space="preserve"> </w:t>
      </w:r>
    </w:p>
    <w:p w14:paraId="5211C05D" w14:textId="77777777" w:rsidR="00D50716" w:rsidRPr="00C21F03" w:rsidRDefault="00D50716" w:rsidP="00C21F03">
      <w:pPr>
        <w:autoSpaceDE w:val="0"/>
        <w:autoSpaceDN w:val="0"/>
        <w:adjustRightInd w:val="0"/>
        <w:ind w:firstLine="360"/>
        <w:rPr>
          <w:rFonts w:cs="Arial"/>
          <w:color w:val="1F497D"/>
        </w:rPr>
      </w:pPr>
    </w:p>
    <w:p w14:paraId="0EF14BE3" w14:textId="70784C3D" w:rsidR="004B006B" w:rsidRDefault="004B006B" w:rsidP="004B006B">
      <w:pPr>
        <w:ind w:left="360"/>
        <w:jc w:val="both"/>
      </w:pPr>
      <w:r w:rsidRPr="00D50716">
        <w:rPr>
          <w:rFonts w:cs="Arial"/>
          <w:b/>
          <w:bCs/>
          <w:color w:val="1F497D"/>
        </w:rPr>
        <w:t>SURVIVAL OF TERMS.</w:t>
      </w:r>
      <w:r>
        <w:t xml:space="preserve"> </w:t>
      </w:r>
      <w:r w:rsidR="00D50716">
        <w:t xml:space="preserve"> </w:t>
      </w:r>
      <w:r w:rsidRPr="00D50716">
        <w:rPr>
          <w:rFonts w:cs="Arial"/>
          <w:color w:val="1F497D"/>
        </w:rPr>
        <w:t xml:space="preserve">Notwithstanding any expiration or termination of this Contract, all payment obligations incurred prior to expiration or termination will survive, as will the following: Articles 11 through 14 survive the expiration or cancellation of this Contract. </w:t>
      </w:r>
      <w:r w:rsidR="00D50716" w:rsidRPr="00D50716">
        <w:rPr>
          <w:rFonts w:cs="Arial"/>
          <w:color w:val="1F497D"/>
        </w:rPr>
        <w:t xml:space="preserve"> </w:t>
      </w:r>
      <w:r w:rsidRPr="00D50716">
        <w:rPr>
          <w:rFonts w:cs="Arial"/>
          <w:color w:val="1F497D"/>
        </w:rPr>
        <w:t>All other rights will cease upon expiration or termination of this Contract.</w:t>
      </w:r>
      <w:r>
        <w:t xml:space="preserve"> </w:t>
      </w:r>
    </w:p>
    <w:p w14:paraId="35765B82" w14:textId="18A15ED3" w:rsidR="00E73C0D" w:rsidRPr="00C21F03" w:rsidRDefault="00E73C0D" w:rsidP="00C21F03">
      <w:pPr>
        <w:autoSpaceDE w:val="0"/>
        <w:autoSpaceDN w:val="0"/>
        <w:adjustRightInd w:val="0"/>
        <w:ind w:firstLine="360"/>
        <w:rPr>
          <w:rFonts w:cs="Arial"/>
          <w:color w:val="1F497D"/>
        </w:rPr>
      </w:pPr>
    </w:p>
    <w:p w14:paraId="376C40BF" w14:textId="42854B32" w:rsidR="004B006B" w:rsidRPr="00E73C0D" w:rsidRDefault="00E73C0D" w:rsidP="00E73C0D">
      <w:pPr>
        <w:ind w:left="360"/>
        <w:jc w:val="both"/>
        <w:rPr>
          <w:rFonts w:cs="Arial"/>
          <w:color w:val="1F497D"/>
        </w:rPr>
      </w:pPr>
      <w:r w:rsidRPr="00E73C0D">
        <w:rPr>
          <w:rFonts w:cs="Arial"/>
          <w:b/>
          <w:bCs/>
          <w:color w:val="1F497D"/>
        </w:rPr>
        <w:t>ADDITIONAL TERMS AND CONDITIONS/PARTICIPATING ADDENDUM.</w:t>
      </w:r>
      <w:r w:rsidRPr="00E73C0D">
        <w:rPr>
          <w:rFonts w:cs="Arial"/>
          <w:color w:val="1F497D"/>
        </w:rPr>
        <w:t xml:space="preserve">  Additional terms and conditions to a purchase order, or other required transaction documentation, may be negotiated between a Participating Entity and Supplier, such as job or industry-specific requirements, legal requirements (e.g., affirmative action or immigration status requirements), or specific local policy requirements. </w:t>
      </w:r>
      <w:r>
        <w:rPr>
          <w:rFonts w:cs="Arial"/>
          <w:color w:val="1F497D"/>
        </w:rPr>
        <w:t xml:space="preserve"> </w:t>
      </w:r>
      <w:r w:rsidRPr="00E73C0D">
        <w:rPr>
          <w:rFonts w:cs="Arial"/>
          <w:color w:val="1F497D"/>
        </w:rPr>
        <w:t xml:space="preserve">Some Participating Entities may require the use of a Participating Addendum, the terms of which will be negotiated directly between the Participating Entity and the Supplier or its authorized dealers, distributors, or resellers, as applicable. </w:t>
      </w:r>
      <w:r>
        <w:rPr>
          <w:rFonts w:cs="Arial"/>
          <w:color w:val="1F497D"/>
        </w:rPr>
        <w:t xml:space="preserve"> </w:t>
      </w:r>
      <w:r w:rsidRPr="00E73C0D">
        <w:rPr>
          <w:rFonts w:cs="Arial"/>
          <w:color w:val="1F497D"/>
        </w:rPr>
        <w:t>Any negotiated additional terms and conditions must never be less favorable to the Participating Entity than what is contained in this Contract.</w:t>
      </w:r>
    </w:p>
    <w:p w14:paraId="642F89BF" w14:textId="77777777" w:rsidR="00E73C0D" w:rsidRPr="0004728C" w:rsidRDefault="00E73C0D" w:rsidP="00822B83">
      <w:pPr>
        <w:ind w:left="360"/>
      </w:pPr>
    </w:p>
    <w:p w14:paraId="3251BD20" w14:textId="22653940" w:rsidR="0020385D" w:rsidRDefault="0020385D" w:rsidP="0091087F">
      <w:pPr>
        <w:pStyle w:val="Heading4"/>
        <w:numPr>
          <w:ilvl w:val="0"/>
          <w:numId w:val="1"/>
        </w:numPr>
        <w:ind w:left="360"/>
      </w:pPr>
      <w:bookmarkStart w:id="2" w:name="FAQ_7"/>
      <w:bookmarkEnd w:id="2"/>
      <w:r>
        <w:t>Are there any restrictions?</w:t>
      </w:r>
    </w:p>
    <w:p w14:paraId="3700CBF3" w14:textId="55A51184" w:rsidR="0020385D" w:rsidRDefault="0020385D" w:rsidP="00CE2C0F">
      <w:pPr>
        <w:autoSpaceDE w:val="0"/>
        <w:autoSpaceDN w:val="0"/>
        <w:adjustRightInd w:val="0"/>
        <w:ind w:left="360"/>
        <w:jc w:val="both"/>
        <w:rPr>
          <w:rFonts w:cs="Arial"/>
          <w:color w:val="1F497D"/>
        </w:rPr>
      </w:pPr>
      <w:r w:rsidRPr="00556FAD">
        <w:rPr>
          <w:rFonts w:cs="Arial"/>
          <w:color w:val="1F497D"/>
        </w:rPr>
        <w:t>This Participation Agreement does not cover any services that would qualify as Public Works,</w:t>
      </w:r>
      <w:r w:rsidR="00CE2C0F">
        <w:rPr>
          <w:rFonts w:cs="Arial"/>
          <w:color w:val="1F497D"/>
        </w:rPr>
        <w:t xml:space="preserve"> </w:t>
      </w:r>
      <w:r w:rsidRPr="00556FAD">
        <w:rPr>
          <w:rFonts w:cs="Arial"/>
          <w:color w:val="1F497D"/>
        </w:rPr>
        <w:t>Architecture and Engineering Services, or Engineering and Land Surveying services, including but not</w:t>
      </w:r>
      <w:r w:rsidR="00CE2C0F">
        <w:rPr>
          <w:rFonts w:cs="Arial"/>
          <w:color w:val="1F497D"/>
        </w:rPr>
        <w:t xml:space="preserve"> </w:t>
      </w:r>
      <w:r w:rsidRPr="00556FAD">
        <w:rPr>
          <w:rFonts w:cs="Arial"/>
          <w:color w:val="1F497D"/>
        </w:rPr>
        <w:t xml:space="preserve">limited to, permanent construction, connection of utilities, or installation on a foundation. </w:t>
      </w:r>
    </w:p>
    <w:p w14:paraId="509FF79F" w14:textId="77777777" w:rsidR="00556FAD" w:rsidRPr="00556FAD" w:rsidRDefault="00556FAD" w:rsidP="00556FAD">
      <w:pPr>
        <w:autoSpaceDE w:val="0"/>
        <w:autoSpaceDN w:val="0"/>
        <w:adjustRightInd w:val="0"/>
        <w:ind w:firstLine="360"/>
        <w:rPr>
          <w:rFonts w:cs="Arial"/>
          <w:color w:val="1F497D"/>
        </w:rPr>
      </w:pPr>
    </w:p>
    <w:p w14:paraId="1DCD9160" w14:textId="77777777" w:rsidR="00556FAD" w:rsidRPr="00B64030" w:rsidRDefault="00556FAD" w:rsidP="00556FAD">
      <w:pPr>
        <w:ind w:left="360"/>
        <w:jc w:val="both"/>
      </w:pPr>
      <w:r>
        <w:rPr>
          <w:rFonts w:cs="Arial"/>
          <w:color w:val="1F497D"/>
        </w:rPr>
        <w:t>DE</w:t>
      </w:r>
      <w:r w:rsidRPr="00EC3CEB">
        <w:rPr>
          <w:rFonts w:cs="Arial"/>
          <w:color w:val="1F497D"/>
        </w:rPr>
        <w:t>S</w:t>
      </w:r>
      <w:r>
        <w:rPr>
          <w:rFonts w:cs="Arial"/>
          <w:color w:val="1F497D"/>
        </w:rPr>
        <w:t xml:space="preserve"> WA/OR </w:t>
      </w:r>
      <w:r w:rsidRPr="000D680D">
        <w:rPr>
          <w:rFonts w:cs="Arial"/>
          <w:color w:val="1F497D"/>
        </w:rPr>
        <w:t>Cooperative Purchasing Agreement</w:t>
      </w:r>
      <w:r>
        <w:rPr>
          <w:rFonts w:cs="Arial"/>
          <w:color w:val="1F497D"/>
        </w:rPr>
        <w:t>s</w:t>
      </w:r>
      <w:r w:rsidRPr="000D680D">
        <w:rPr>
          <w:rFonts w:cs="Arial"/>
          <w:color w:val="1F497D"/>
        </w:rPr>
        <w:t xml:space="preserve"> </w:t>
      </w:r>
      <w:r w:rsidRPr="00EC3CEB">
        <w:rPr>
          <w:rFonts w:cs="Arial"/>
          <w:color w:val="1F497D"/>
        </w:rPr>
        <w:t>are established in accordance</w:t>
      </w:r>
      <w:r w:rsidRPr="00556FAD">
        <w:rPr>
          <w:rFonts w:cs="Arial"/>
          <w:color w:val="1F497D"/>
        </w:rPr>
        <w:t xml:space="preserve"> with</w:t>
      </w:r>
      <w:r w:rsidRPr="00B64030">
        <w:rPr>
          <w:rFonts w:asciiTheme="majorHAnsi" w:eastAsia="Times New Roman" w:hAnsiTheme="majorHAnsi" w:cstheme="majorHAnsi"/>
          <w:color w:val="000000"/>
        </w:rPr>
        <w:t xml:space="preserve"> </w:t>
      </w:r>
      <w:hyperlink r:id="rId15" w:tgtFrame="_blank" w:history="1">
        <w:r>
          <w:rPr>
            <w:rStyle w:val="normaltextrun"/>
            <w:rFonts w:cs="Arial"/>
            <w:color w:val="0000FF"/>
            <w:u w:val="single"/>
            <w:shd w:val="clear" w:color="auto" w:fill="FFFFFF"/>
          </w:rPr>
          <w:t>RCW 39.26</w:t>
        </w:r>
      </w:hyperlink>
      <w:r>
        <w:t xml:space="preserve"> </w:t>
      </w:r>
      <w:r w:rsidRPr="00EC3CEB">
        <w:rPr>
          <w:rFonts w:cs="Arial"/>
          <w:color w:val="1F497D"/>
        </w:rPr>
        <w:t>which governs Competitive Purchasing.</w:t>
      </w:r>
    </w:p>
    <w:p w14:paraId="724ED7BA" w14:textId="77777777" w:rsidR="00556FAD" w:rsidRPr="00556FAD" w:rsidRDefault="00556FAD" w:rsidP="00556FAD">
      <w:pPr>
        <w:autoSpaceDE w:val="0"/>
        <w:autoSpaceDN w:val="0"/>
        <w:adjustRightInd w:val="0"/>
        <w:ind w:firstLine="360"/>
        <w:rPr>
          <w:rFonts w:cs="Arial"/>
          <w:color w:val="1F497D"/>
        </w:rPr>
      </w:pPr>
    </w:p>
    <w:p w14:paraId="55B70231" w14:textId="77777777" w:rsidR="00556FAD" w:rsidRPr="00886786" w:rsidRDefault="00556FAD" w:rsidP="00556FAD">
      <w:pPr>
        <w:ind w:left="360"/>
        <w:jc w:val="both"/>
      </w:pPr>
      <w:r w:rsidRPr="00EB6F5C">
        <w:rPr>
          <w:rFonts w:cs="Arial"/>
          <w:color w:val="1F497D"/>
        </w:rPr>
        <w:t>This WA/OR Cooperative Purchasing Agreement was evaluated under common Goods and Services procurement law (RCW39.26).</w:t>
      </w:r>
      <w:r>
        <w:rPr>
          <w:rFonts w:cs="Arial"/>
          <w:color w:val="1F497D"/>
        </w:rPr>
        <w:t xml:space="preserve">  </w:t>
      </w:r>
      <w:r w:rsidRPr="00EC3CEB">
        <w:rPr>
          <w:rFonts w:cs="Arial"/>
          <w:color w:val="1F497D"/>
        </w:rPr>
        <w:t xml:space="preserve">DES </w:t>
      </w:r>
      <w:r>
        <w:rPr>
          <w:rFonts w:cs="Arial"/>
          <w:color w:val="1F497D"/>
        </w:rPr>
        <w:t xml:space="preserve">WA/OR </w:t>
      </w:r>
      <w:r w:rsidRPr="000D680D">
        <w:rPr>
          <w:rFonts w:cs="Arial"/>
          <w:color w:val="1F497D"/>
        </w:rPr>
        <w:t xml:space="preserve">Cooperative Purchasing Agreement </w:t>
      </w:r>
      <w:r w:rsidRPr="00E9226E">
        <w:rPr>
          <w:rStyle w:val="normaltextrun"/>
          <w:rFonts w:cs="Arial"/>
          <w:b/>
          <w:bCs/>
          <w:color w:val="212529"/>
          <w:shd w:val="clear" w:color="auto" w:fill="FFFFFF"/>
        </w:rPr>
        <w:t>e</w:t>
      </w:r>
      <w:r w:rsidRPr="00E9226E">
        <w:rPr>
          <w:b/>
          <w:bCs/>
          <w:color w:val="1F497D"/>
        </w:rPr>
        <w:t>xclude</w:t>
      </w:r>
      <w:r>
        <w:rPr>
          <w:b/>
          <w:bCs/>
          <w:color w:val="1F497D"/>
        </w:rPr>
        <w:t>s</w:t>
      </w:r>
      <w:r w:rsidRPr="00E9226E">
        <w:rPr>
          <w:color w:val="1F497D"/>
        </w:rPr>
        <w:t> </w:t>
      </w:r>
      <w:hyperlink r:id="rId16" w:tgtFrame="_blank" w:history="1">
        <w:r w:rsidRPr="00E9226E">
          <w:rPr>
            <w:rStyle w:val="normaltextrun"/>
            <w:rFonts w:cs="Arial"/>
            <w:color w:val="0000FE"/>
            <w:u w:val="single"/>
            <w:shd w:val="clear" w:color="auto" w:fill="FFFFFF"/>
          </w:rPr>
          <w:t>RCW 39.04</w:t>
        </w:r>
      </w:hyperlink>
      <w:r>
        <w:rPr>
          <w:rStyle w:val="normaltextrun"/>
          <w:rFonts w:cs="Arial"/>
          <w:color w:val="212529"/>
          <w:shd w:val="clear" w:color="auto" w:fill="FFFFFF"/>
        </w:rPr>
        <w:t> for Public Works, </w:t>
      </w:r>
      <w:hyperlink r:id="rId17" w:tgtFrame="_blank" w:history="1">
        <w:r>
          <w:rPr>
            <w:rStyle w:val="normaltextrun"/>
            <w:rFonts w:cs="Arial"/>
            <w:color w:val="0000FE"/>
            <w:u w:val="single"/>
            <w:shd w:val="clear" w:color="auto" w:fill="FFFFFF"/>
          </w:rPr>
          <w:t>RCW 39.80</w:t>
        </w:r>
      </w:hyperlink>
      <w:r>
        <w:t xml:space="preserve"> </w:t>
      </w:r>
      <w:r w:rsidRPr="0066316A">
        <w:rPr>
          <w:rFonts w:cs="Arial"/>
          <w:color w:val="1F497D"/>
        </w:rPr>
        <w:t>for Architecture and Engineering Services, and</w:t>
      </w:r>
      <w:r w:rsidRPr="00886786">
        <w:t xml:space="preserve"> </w:t>
      </w:r>
      <w:r>
        <w:rPr>
          <w:rStyle w:val="normaltextrun"/>
          <w:rFonts w:cs="Arial"/>
          <w:color w:val="212529"/>
          <w:shd w:val="clear" w:color="auto" w:fill="FFFFFF"/>
        </w:rPr>
        <w:t> </w:t>
      </w:r>
      <w:hyperlink r:id="rId18" w:tgtFrame="_blank" w:history="1">
        <w:r>
          <w:rPr>
            <w:rStyle w:val="normaltextrun"/>
            <w:rFonts w:cs="Arial"/>
            <w:color w:val="0000FE"/>
            <w:u w:val="single"/>
            <w:shd w:val="clear" w:color="auto" w:fill="FFFFFF"/>
          </w:rPr>
          <w:t>RCW 18.43</w:t>
        </w:r>
      </w:hyperlink>
      <w:r>
        <w:rPr>
          <w:rStyle w:val="normaltextrun"/>
          <w:rFonts w:cs="Arial"/>
          <w:color w:val="212529"/>
          <w:shd w:val="clear" w:color="auto" w:fill="FFFFFF"/>
        </w:rPr>
        <w:t> </w:t>
      </w:r>
      <w:r w:rsidRPr="00886786">
        <w:t xml:space="preserve">for </w:t>
      </w:r>
      <w:r w:rsidRPr="00EC3CEB">
        <w:rPr>
          <w:rFonts w:cs="Arial"/>
          <w:color w:val="1F497D"/>
        </w:rPr>
        <w:t>Engineers and Land Surveyors.  It is critical that each organization follow these and other Public Works requirements accordingly.  For assistance, and other important information, see Restrictions Resources below.</w:t>
      </w:r>
    </w:p>
    <w:p w14:paraId="0C5CBA7A" w14:textId="77777777" w:rsidR="00F20A83" w:rsidRDefault="00F20A83" w:rsidP="00556FAD">
      <w:pPr>
        <w:autoSpaceDE w:val="0"/>
        <w:autoSpaceDN w:val="0"/>
        <w:adjustRightInd w:val="0"/>
        <w:ind w:firstLine="360"/>
        <w:rPr>
          <w:rFonts w:cs="Arial"/>
          <w:color w:val="1F497D"/>
        </w:rPr>
      </w:pPr>
    </w:p>
    <w:p w14:paraId="1F0AEB62" w14:textId="77777777" w:rsidR="00514E61" w:rsidRDefault="00514E61" w:rsidP="00556FAD">
      <w:pPr>
        <w:autoSpaceDE w:val="0"/>
        <w:autoSpaceDN w:val="0"/>
        <w:adjustRightInd w:val="0"/>
        <w:ind w:firstLine="360"/>
        <w:rPr>
          <w:rFonts w:cs="Arial"/>
          <w:color w:val="1F497D"/>
        </w:rPr>
      </w:pPr>
    </w:p>
    <w:p w14:paraId="4BEB26BA" w14:textId="77777777" w:rsidR="00514E61" w:rsidRPr="00556FAD" w:rsidRDefault="00514E61" w:rsidP="00556FAD">
      <w:pPr>
        <w:autoSpaceDE w:val="0"/>
        <w:autoSpaceDN w:val="0"/>
        <w:adjustRightInd w:val="0"/>
        <w:ind w:firstLine="360"/>
        <w:rPr>
          <w:rFonts w:cs="Arial"/>
          <w:color w:val="1F497D"/>
        </w:rPr>
      </w:pPr>
    </w:p>
    <w:p w14:paraId="569E5340" w14:textId="77777777" w:rsidR="00556FAD" w:rsidRPr="002F6929" w:rsidRDefault="00556FAD" w:rsidP="00556FAD">
      <w:pPr>
        <w:ind w:left="360"/>
        <w:jc w:val="both"/>
        <w:rPr>
          <w:rFonts w:cs="Arial"/>
          <w:b/>
          <w:bCs/>
          <w:color w:val="1F497D"/>
        </w:rPr>
      </w:pPr>
      <w:r w:rsidRPr="002F6929">
        <w:rPr>
          <w:rFonts w:cs="Arial"/>
          <w:b/>
          <w:bCs/>
          <w:color w:val="1F497D"/>
        </w:rPr>
        <w:t>Restriction Resources for Projects with Public Works Elements</w:t>
      </w:r>
    </w:p>
    <w:p w14:paraId="12ECA953" w14:textId="77777777" w:rsidR="00556FAD" w:rsidRPr="00EC3CEB" w:rsidRDefault="00556FAD" w:rsidP="00556FAD">
      <w:pPr>
        <w:ind w:left="360"/>
        <w:jc w:val="both"/>
        <w:rPr>
          <w:rFonts w:cs="Arial"/>
          <w:color w:val="1F497D"/>
        </w:rPr>
      </w:pPr>
      <w:r w:rsidRPr="00EC3CEB">
        <w:rPr>
          <w:rFonts w:cs="Arial"/>
          <w:color w:val="1F497D"/>
        </w:rPr>
        <w:t xml:space="preserve">Local governments, special purpose districts, and other political subdivisions of the state may also find assistance via the </w:t>
      </w:r>
      <w:hyperlink r:id="rId19" w:tgtFrame="_blank" w:history="1">
        <w:r>
          <w:rPr>
            <w:rStyle w:val="normaltextrun"/>
            <w:rFonts w:cs="Arial"/>
            <w:color w:val="0000FF"/>
            <w:u w:val="single"/>
            <w:shd w:val="clear" w:color="auto" w:fill="FFFFFF"/>
          </w:rPr>
          <w:t>Municipal Services Research Center (</w:t>
        </w:r>
        <w:proofErr w:type="spellStart"/>
        <w:r>
          <w:rPr>
            <w:rStyle w:val="normaltextrun"/>
            <w:rFonts w:cs="Arial"/>
            <w:color w:val="0000FF"/>
            <w:u w:val="single"/>
            <w:shd w:val="clear" w:color="auto" w:fill="FFFFFF"/>
          </w:rPr>
          <w:t>MRSC</w:t>
        </w:r>
        <w:proofErr w:type="spellEnd"/>
        <w:r>
          <w:rPr>
            <w:rStyle w:val="normaltextrun"/>
            <w:rFonts w:cs="Arial"/>
            <w:color w:val="0000FF"/>
            <w:u w:val="single"/>
            <w:shd w:val="clear" w:color="auto" w:fill="FFFFFF"/>
          </w:rPr>
          <w:t>)</w:t>
        </w:r>
      </w:hyperlink>
      <w:r>
        <w:t xml:space="preserve"> </w:t>
      </w:r>
      <w:r w:rsidRPr="00EC3CEB">
        <w:rPr>
          <w:rFonts w:cs="Arial"/>
          <w:color w:val="1F497D"/>
        </w:rPr>
        <w:t xml:space="preserve">webpage.  This website provides links to resources and services provided by </w:t>
      </w:r>
      <w:proofErr w:type="spellStart"/>
      <w:r w:rsidRPr="00EC3CEB">
        <w:rPr>
          <w:rFonts w:cs="Arial"/>
          <w:color w:val="1F497D"/>
        </w:rPr>
        <w:t>MRSC</w:t>
      </w:r>
      <w:proofErr w:type="spellEnd"/>
      <w:r w:rsidRPr="00EC3CEB">
        <w:rPr>
          <w:rFonts w:cs="Arial"/>
          <w:color w:val="1F497D"/>
        </w:rPr>
        <w:t xml:space="preserve"> in relation to purchasing, bidding, and contracting in Washington State.</w:t>
      </w:r>
    </w:p>
    <w:p w14:paraId="1C289E49" w14:textId="77777777" w:rsidR="00556FAD" w:rsidRPr="00EC3CEB" w:rsidRDefault="00556FAD" w:rsidP="00556FAD">
      <w:pPr>
        <w:autoSpaceDE w:val="0"/>
        <w:autoSpaceDN w:val="0"/>
        <w:adjustRightInd w:val="0"/>
        <w:ind w:firstLine="360"/>
        <w:rPr>
          <w:rFonts w:cs="Arial"/>
          <w:color w:val="1F497D"/>
        </w:rPr>
      </w:pPr>
    </w:p>
    <w:p w14:paraId="5D4D14C9" w14:textId="77777777" w:rsidR="00556FAD" w:rsidRPr="00EB6F5C" w:rsidRDefault="00556FAD" w:rsidP="00556FAD">
      <w:pPr>
        <w:ind w:left="360"/>
        <w:jc w:val="both"/>
        <w:rPr>
          <w:b/>
          <w:bCs/>
        </w:rPr>
      </w:pPr>
      <w:r w:rsidRPr="00EB6F5C">
        <w:rPr>
          <w:color w:val="1F497D"/>
        </w:rPr>
        <w:t>Facility Planning Services- FPS may also assist state agencies, local governments, special purpose districts, and other political subdivisions of state government to address environmental consulting needs.  For details about DES Facility Planning Services Team and it services, visit</w:t>
      </w:r>
      <w:r w:rsidRPr="00EB6F5C">
        <w:rPr>
          <w:rFonts w:eastAsia="Times New Roman"/>
          <w:color w:val="000000"/>
        </w:rPr>
        <w:t xml:space="preserve"> </w:t>
      </w:r>
      <w:hyperlink r:id="rId20" w:tgtFrame="_blank" w:history="1">
        <w:r w:rsidRPr="00EB6F5C">
          <w:rPr>
            <w:rStyle w:val="normaltextrun"/>
            <w:color w:val="0000FF"/>
            <w:u w:val="single"/>
            <w:shd w:val="clear" w:color="auto" w:fill="FFFFFF"/>
          </w:rPr>
          <w:t>DES Facility Professional Services</w:t>
        </w:r>
      </w:hyperlink>
      <w:r w:rsidRPr="00EB6F5C">
        <w:t xml:space="preserve"> </w:t>
      </w:r>
      <w:r w:rsidRPr="00EB6F5C">
        <w:rPr>
          <w:color w:val="1F497D"/>
        </w:rPr>
        <w:t>or contact the DES FPS Team by phone at: (360) 902-7272 or email:</w:t>
      </w:r>
      <w:r w:rsidRPr="00EB6F5C">
        <w:rPr>
          <w:rFonts w:eastAsia="Times New Roman"/>
          <w:color w:val="000000"/>
        </w:rPr>
        <w:t xml:space="preserve"> </w:t>
      </w:r>
      <w:hyperlink r:id="rId21" w:history="1">
        <w:r w:rsidRPr="00EB6F5C">
          <w:rPr>
            <w:rStyle w:val="Hyperlink"/>
            <w:rFonts w:eastAsia="Times New Roman"/>
          </w:rPr>
          <w:t>EASMail@des.wa.gov</w:t>
        </w:r>
      </w:hyperlink>
      <w:r>
        <w:rPr>
          <w:rStyle w:val="Hyperlink"/>
          <w:rFonts w:eastAsia="Times New Roman"/>
        </w:rPr>
        <w:t>.</w:t>
      </w:r>
      <w:r w:rsidRPr="00EB6F5C">
        <w:rPr>
          <w:rFonts w:eastAsia="Times New Roman"/>
          <w:b/>
          <w:bCs/>
          <w:color w:val="000000"/>
        </w:rPr>
        <w:t xml:space="preserve"> </w:t>
      </w:r>
    </w:p>
    <w:p w14:paraId="58CC44E6" w14:textId="77777777" w:rsidR="0020385D" w:rsidRPr="0020385D" w:rsidRDefault="0020385D" w:rsidP="0020385D">
      <w:pPr>
        <w:ind w:left="360"/>
      </w:pPr>
    </w:p>
    <w:p w14:paraId="310D4B9E" w14:textId="63504182" w:rsidR="0091087F" w:rsidRPr="005755A7" w:rsidRDefault="0020385D" w:rsidP="0091087F">
      <w:pPr>
        <w:pStyle w:val="Heading4"/>
        <w:numPr>
          <w:ilvl w:val="0"/>
          <w:numId w:val="1"/>
        </w:numPr>
        <w:ind w:left="360"/>
      </w:pPr>
      <w:r>
        <w:t>W</w:t>
      </w:r>
      <w:r w:rsidR="0091087F" w:rsidRPr="005755A7">
        <w:t xml:space="preserve">ho is authorized (or not) to use this </w:t>
      </w:r>
      <w:r w:rsidR="00565748" w:rsidRPr="00565748">
        <w:rPr>
          <w:rFonts w:cs="Arial"/>
        </w:rPr>
        <w:t>Purchasing Agreemen</w:t>
      </w:r>
      <w:r w:rsidR="00565748">
        <w:rPr>
          <w:rFonts w:cs="Arial"/>
        </w:rPr>
        <w:t>t</w:t>
      </w:r>
      <w:r w:rsidR="0091087F" w:rsidRPr="005755A7">
        <w:t>?</w:t>
      </w:r>
    </w:p>
    <w:p w14:paraId="661AC244" w14:textId="77777777" w:rsidR="0091087F" w:rsidRPr="001C2F4D" w:rsidRDefault="0091087F" w:rsidP="0091087F">
      <w:pPr>
        <w:ind w:firstLine="360"/>
        <w:rPr>
          <w:rFonts w:cs="Arial"/>
          <w:b/>
          <w:bCs/>
          <w:color w:val="1F497D"/>
        </w:rPr>
      </w:pPr>
      <w:r w:rsidRPr="001C2F4D">
        <w:rPr>
          <w:rFonts w:cs="Arial"/>
          <w:b/>
          <w:bCs/>
          <w:color w:val="1F497D"/>
        </w:rPr>
        <w:t xml:space="preserve">Eligible purchasers include: </w:t>
      </w:r>
    </w:p>
    <w:p w14:paraId="2B9B8AB0" w14:textId="77777777" w:rsidR="0091087F" w:rsidRPr="0054058F" w:rsidRDefault="0091087F" w:rsidP="0091087F">
      <w:pPr>
        <w:pStyle w:val="ListParagraph"/>
        <w:ind w:left="360"/>
        <w:jc w:val="both"/>
        <w:rPr>
          <w:rFonts w:cs="Arial"/>
        </w:rPr>
      </w:pPr>
      <w:r w:rsidRPr="009E53B3">
        <w:rPr>
          <w:rFonts w:cs="Arial"/>
          <w:b/>
          <w:bCs/>
          <w:color w:val="1F497D"/>
        </w:rPr>
        <w:t>Washington State Agencies.</w:t>
      </w:r>
      <w:r w:rsidRPr="724CDABC">
        <w:rPr>
          <w:rFonts w:cs="Arial"/>
        </w:rPr>
        <w:t xml:space="preserve"> </w:t>
      </w:r>
      <w:r>
        <w:rPr>
          <w:rFonts w:cs="Arial"/>
        </w:rPr>
        <w:t xml:space="preserve">  </w:t>
      </w:r>
      <w:r w:rsidRPr="00EC3CEB">
        <w:rPr>
          <w:rFonts w:cs="Arial"/>
          <w:color w:val="1F497D"/>
        </w:rPr>
        <w:t>All Washington state agencies, departments, offices, divisions, boards, and commissions.</w:t>
      </w:r>
    </w:p>
    <w:p w14:paraId="09244F91" w14:textId="77777777" w:rsidR="0091087F" w:rsidRPr="00FC6340" w:rsidRDefault="0091087F" w:rsidP="0091087F">
      <w:pPr>
        <w:pStyle w:val="ListParagraph"/>
        <w:ind w:left="360"/>
        <w:jc w:val="both"/>
        <w:rPr>
          <w:rFonts w:cs="Arial"/>
        </w:rPr>
      </w:pPr>
    </w:p>
    <w:p w14:paraId="510D280B" w14:textId="77777777" w:rsidR="0091087F" w:rsidRPr="0054058F" w:rsidRDefault="0091087F" w:rsidP="0091087F">
      <w:pPr>
        <w:pStyle w:val="ListParagraph"/>
        <w:ind w:left="360"/>
        <w:jc w:val="both"/>
        <w:rPr>
          <w:rFonts w:cs="Arial"/>
        </w:rPr>
      </w:pPr>
      <w:r w:rsidRPr="009E53B3">
        <w:rPr>
          <w:rFonts w:cs="Arial"/>
          <w:b/>
          <w:bCs/>
          <w:color w:val="1F497D"/>
        </w:rPr>
        <w:t>Washington State Institutions of Higher Education (Colleges).</w:t>
      </w:r>
      <w:r w:rsidRPr="0054058F">
        <w:rPr>
          <w:rFonts w:cs="Arial"/>
        </w:rPr>
        <w:t xml:space="preserve"> </w:t>
      </w:r>
      <w:r>
        <w:rPr>
          <w:rFonts w:cs="Arial"/>
        </w:rPr>
        <w:t xml:space="preserve"> </w:t>
      </w:r>
      <w:r w:rsidRPr="00EC3CEB">
        <w:rPr>
          <w:rFonts w:cs="Arial"/>
          <w:color w:val="1F497D"/>
        </w:rPr>
        <w:t xml:space="preserve">Any of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w:t>
      </w:r>
      <w:proofErr w:type="gramStart"/>
      <w:r w:rsidRPr="00EC3CEB">
        <w:rPr>
          <w:rFonts w:cs="Arial"/>
          <w:color w:val="1F497D"/>
        </w:rPr>
        <w:t>Technical</w:t>
      </w:r>
      <w:proofErr w:type="gramEnd"/>
      <w:r w:rsidRPr="00EC3CEB">
        <w:rPr>
          <w:rFonts w:cs="Arial"/>
          <w:color w:val="1F497D"/>
        </w:rPr>
        <w:t xml:space="preserve"> colleges.</w:t>
      </w:r>
    </w:p>
    <w:p w14:paraId="00C61AF2" w14:textId="77777777" w:rsidR="0091087F" w:rsidRPr="007D6798" w:rsidRDefault="0091087F" w:rsidP="0091087F">
      <w:pPr>
        <w:pStyle w:val="ListParagraph"/>
        <w:ind w:left="360"/>
        <w:jc w:val="both"/>
        <w:rPr>
          <w:rFonts w:cs="Arial"/>
        </w:rPr>
      </w:pPr>
    </w:p>
    <w:p w14:paraId="4B046D70" w14:textId="77777777" w:rsidR="0091087F" w:rsidRDefault="0091087F" w:rsidP="0091087F">
      <w:pPr>
        <w:pStyle w:val="ListParagraph"/>
        <w:ind w:left="360"/>
        <w:jc w:val="both"/>
        <w:rPr>
          <w:rFonts w:cs="Arial"/>
        </w:rPr>
      </w:pPr>
      <w:r w:rsidRPr="009E53B3">
        <w:rPr>
          <w:rFonts w:cs="Arial"/>
          <w:b/>
          <w:bCs/>
          <w:color w:val="1F497D"/>
        </w:rPr>
        <w:t>CUA Parties.</w:t>
      </w:r>
      <w:r>
        <w:rPr>
          <w:rFonts w:cs="Arial"/>
          <w:b/>
          <w:bCs/>
          <w:color w:val="1F497D"/>
        </w:rPr>
        <w:t xml:space="preserve"> </w:t>
      </w:r>
      <w:r w:rsidRPr="0054058F">
        <w:rPr>
          <w:rFonts w:cs="Arial"/>
        </w:rPr>
        <w:t xml:space="preserve"> </w:t>
      </w:r>
      <w:r w:rsidRPr="00EC3CEB">
        <w:rPr>
          <w:rFonts w:cs="Arial"/>
          <w:color w:val="1F497D"/>
        </w:rPr>
        <w:t>Any of the following types of entities that have executed a</w:t>
      </w:r>
      <w:r w:rsidRPr="0054058F">
        <w:rPr>
          <w:rFonts w:cs="Arial"/>
        </w:rPr>
        <w:t xml:space="preserve"> </w:t>
      </w:r>
      <w:hyperlink r:id="rId22" w:history="1">
        <w:r w:rsidRPr="00A56010">
          <w:rPr>
            <w:rStyle w:val="Hyperlink"/>
            <w:rFonts w:cs="Arial"/>
          </w:rPr>
          <w:t>Contract Usage Agreement</w:t>
        </w:r>
      </w:hyperlink>
      <w:r w:rsidRPr="0054058F">
        <w:rPr>
          <w:rFonts w:cs="Arial"/>
        </w:rPr>
        <w:t xml:space="preserve"> </w:t>
      </w:r>
      <w:r w:rsidRPr="00EC3CEB">
        <w:rPr>
          <w:rFonts w:cs="Arial"/>
          <w:color w:val="1F497D"/>
        </w:rPr>
        <w:t>with Enterprise Services: Political subdivisions (e.g., counties, cities, school districts, public utility districts, ports) in the State of Washington; Federal governmental agencies or entities; Public-benefit nonprofit corporations (i.e., public benefit nonprofit corporations as defined in RCW 24.03A.245 who receive federal, state, or local funding); and Federally-recognized Indian Tribes located in the State of Washington.</w:t>
      </w:r>
    </w:p>
    <w:p w14:paraId="03E72C06" w14:textId="77777777" w:rsidR="0091087F" w:rsidRPr="00713641" w:rsidRDefault="0091087F" w:rsidP="0091087F">
      <w:pPr>
        <w:pStyle w:val="ListParagraph"/>
        <w:ind w:left="360"/>
        <w:jc w:val="both"/>
        <w:rPr>
          <w:rFonts w:cs="Arial"/>
        </w:rPr>
      </w:pPr>
    </w:p>
    <w:p w14:paraId="00963203" w14:textId="79291B26" w:rsidR="0091087F" w:rsidRDefault="0091087F" w:rsidP="00E06C7C">
      <w:pPr>
        <w:pStyle w:val="ListParagraph"/>
        <w:ind w:left="360"/>
        <w:jc w:val="both"/>
        <w:rPr>
          <w:rStyle w:val="Hyperlink"/>
        </w:rPr>
      </w:pPr>
      <w:r w:rsidRPr="00EC3CEB">
        <w:rPr>
          <w:rFonts w:cs="Arial"/>
          <w:color w:val="1F497D"/>
        </w:rPr>
        <w:t>Enter</w:t>
      </w:r>
      <w:r w:rsidRPr="00D96484">
        <w:rPr>
          <w:color w:val="1F497D"/>
        </w:rPr>
        <w:t xml:space="preserve">prise Services maintains a list of eligible Contract Usage Agreement parties on the </w:t>
      </w:r>
      <w:hyperlink r:id="rId23" w:history="1">
        <w:r w:rsidRPr="00D96484">
          <w:rPr>
            <w:rStyle w:val="Hyperlink"/>
          </w:rPr>
          <w:t>CUA Listing website.</w:t>
        </w:r>
      </w:hyperlink>
    </w:p>
    <w:p w14:paraId="5730F332" w14:textId="77777777" w:rsidR="00E06C7C" w:rsidRPr="00E06C7C" w:rsidRDefault="00E06C7C" w:rsidP="00E06C7C">
      <w:pPr>
        <w:pStyle w:val="ListParagraph"/>
        <w:ind w:left="360"/>
        <w:jc w:val="both"/>
        <w:rPr>
          <w:rFonts w:asciiTheme="majorHAnsi" w:hAnsiTheme="majorHAnsi" w:cstheme="majorHAnsi"/>
          <w:sz w:val="20"/>
          <w:szCs w:val="20"/>
          <w:lang w:val="x-none"/>
        </w:rPr>
      </w:pPr>
    </w:p>
    <w:p w14:paraId="3531CC4B" w14:textId="77777777" w:rsidR="005E0FE4" w:rsidRPr="00B40F97" w:rsidRDefault="005E0FE4" w:rsidP="005E0FE4">
      <w:pPr>
        <w:pStyle w:val="ListParagraph"/>
        <w:ind w:left="360"/>
        <w:jc w:val="both"/>
        <w:rPr>
          <w:rFonts w:cs="Arial"/>
          <w:color w:val="1F497D"/>
        </w:rPr>
      </w:pPr>
      <w:r w:rsidRPr="000826A8">
        <w:rPr>
          <w:rFonts w:cs="Arial"/>
          <w:b/>
          <w:bCs/>
          <w:color w:val="1F497D"/>
        </w:rPr>
        <w:t>Local Government Contractor Selection</w:t>
      </w:r>
      <w:r w:rsidRPr="00B40F97">
        <w:rPr>
          <w:rFonts w:cs="Arial"/>
          <w:color w:val="1F497D"/>
        </w:rPr>
        <w:t>:  Under</w:t>
      </w:r>
      <w:r w:rsidRPr="005D1D69">
        <w:t xml:space="preserve"> </w:t>
      </w:r>
      <w:hyperlink r:id="rId24" w:history="1">
        <w:r w:rsidRPr="00B40F97">
          <w:rPr>
            <w:rFonts w:cs="Arial"/>
            <w:color w:val="1F497D"/>
          </w:rPr>
          <w:t>RCW 39.34.030 local governments that choose to piggyback</w:t>
        </w:r>
      </w:hyperlink>
      <w:r w:rsidRPr="00B40F97">
        <w:rPr>
          <w:rFonts w:cs="Arial"/>
          <w:color w:val="1F497D"/>
        </w:rPr>
        <w:t xml:space="preserve"> can visit the State Auditors resource document for more information:  </w:t>
      </w:r>
      <w:hyperlink r:id="rId25" w:history="1">
        <w:r w:rsidRPr="005D1D69">
          <w:rPr>
            <w:rStyle w:val="Hyperlink"/>
          </w:rPr>
          <w:t>Piggybacking under Washington State Law</w:t>
        </w:r>
      </w:hyperlink>
      <w:r w:rsidRPr="005D1D69">
        <w:t xml:space="preserve">.  </w:t>
      </w:r>
      <w:r w:rsidRPr="00B40F97">
        <w:rPr>
          <w:rFonts w:cs="Arial"/>
          <w:color w:val="1F497D"/>
        </w:rPr>
        <w:t>An optional checklist is available to help document the steps taken</w:t>
      </w:r>
      <w:r>
        <w:t xml:space="preserve"> (</w:t>
      </w:r>
      <w:hyperlink r:id="rId26" w:history="1">
        <w:r w:rsidRPr="005D1D69">
          <w:rPr>
            <w:rStyle w:val="Hyperlink"/>
          </w:rPr>
          <w:t>see Appendix A</w:t>
        </w:r>
      </w:hyperlink>
      <w:r>
        <w:t xml:space="preserve">).  </w:t>
      </w:r>
      <w:r w:rsidRPr="00B40F97">
        <w:rPr>
          <w:rFonts w:cs="Arial"/>
          <w:color w:val="1F497D"/>
        </w:rPr>
        <w:t xml:space="preserve">If an eligible Political subdivisions purchaser has </w:t>
      </w:r>
      <w:proofErr w:type="gramStart"/>
      <w:r w:rsidRPr="00B40F97">
        <w:rPr>
          <w:rFonts w:cs="Arial"/>
          <w:color w:val="1F497D"/>
        </w:rPr>
        <w:t>questions</w:t>
      </w:r>
      <w:proofErr w:type="gramEnd"/>
      <w:r w:rsidRPr="00B40F97">
        <w:rPr>
          <w:rFonts w:cs="Arial"/>
          <w:color w:val="1F497D"/>
        </w:rPr>
        <w:t xml:space="preserve"> the information document does not address, it’s recommended the Political subdivisions consult with your Legal counsel and/or Attorney General’s Office to help ensure compliance with your local and state laws.</w:t>
      </w:r>
    </w:p>
    <w:p w14:paraId="60E1100E" w14:textId="77777777" w:rsidR="005E0FE4" w:rsidRPr="005E0FE4" w:rsidRDefault="005E0FE4" w:rsidP="005E0FE4"/>
    <w:p w14:paraId="45BDC642" w14:textId="23AB6032" w:rsidR="00943A53" w:rsidRDefault="00F914ED" w:rsidP="006758CA">
      <w:pPr>
        <w:pStyle w:val="Heading4"/>
        <w:numPr>
          <w:ilvl w:val="0"/>
          <w:numId w:val="1"/>
        </w:numPr>
        <w:ind w:left="360" w:hanging="540"/>
      </w:pPr>
      <w:r w:rsidRPr="00C4029F">
        <w:t>What</w:t>
      </w:r>
      <w:r w:rsidR="00943A53">
        <w:t xml:space="preserve"> if an Agency wants to make a payment using a credit card (P-card)? </w:t>
      </w:r>
    </w:p>
    <w:p w14:paraId="648BA371" w14:textId="2C461012" w:rsidR="00943A53" w:rsidRPr="00DE00DC" w:rsidRDefault="00076119" w:rsidP="00943A53">
      <w:pPr>
        <w:ind w:left="360"/>
        <w:jc w:val="both"/>
        <w:rPr>
          <w:rFonts w:cs="Arial"/>
          <w:color w:val="1F497D"/>
        </w:rPr>
      </w:pPr>
      <w:r w:rsidRPr="00DE00DC">
        <w:rPr>
          <w:rFonts w:cs="Arial"/>
          <w:color w:val="1F497D"/>
        </w:rPr>
        <w:t xml:space="preserve">Contractors/Vendors </w:t>
      </w:r>
      <w:r w:rsidR="00943A53" w:rsidRPr="00DE00DC">
        <w:rPr>
          <w:rFonts w:cs="Arial"/>
          <w:color w:val="1F497D"/>
        </w:rPr>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Pr="00F20A83" w:rsidRDefault="00927E91" w:rsidP="00943A53">
      <w:pPr>
        <w:ind w:left="360"/>
        <w:jc w:val="both"/>
        <w:rPr>
          <w:rFonts w:cs="Arial"/>
          <w:color w:val="1F497D"/>
        </w:rPr>
      </w:pPr>
    </w:p>
    <w:p w14:paraId="6BF40724" w14:textId="2ABAF349" w:rsidR="00927E91" w:rsidRPr="00DE00DC" w:rsidRDefault="00927E91" w:rsidP="00943A53">
      <w:pPr>
        <w:ind w:left="360"/>
        <w:jc w:val="both"/>
        <w:rPr>
          <w:rFonts w:cs="Arial"/>
          <w:color w:val="1F497D"/>
        </w:rPr>
      </w:pPr>
      <w:r w:rsidRPr="00717F71">
        <w:rPr>
          <w:rFonts w:cs="Arial"/>
          <w:b/>
          <w:bCs/>
          <w:color w:val="1F497D"/>
        </w:rPr>
        <w:t>NOTE:</w:t>
      </w:r>
      <w:r>
        <w:t xml:space="preserve">  </w:t>
      </w:r>
      <w:r w:rsidR="006D5D06" w:rsidRPr="00DE00DC">
        <w:rPr>
          <w:rFonts w:cs="Arial"/>
          <w:color w:val="1F497D"/>
        </w:rPr>
        <w:t xml:space="preserve">No credit </w:t>
      </w:r>
      <w:r w:rsidRPr="00DE00DC">
        <w:rPr>
          <w:rFonts w:cs="Arial"/>
          <w:color w:val="1F497D"/>
        </w:rPr>
        <w:t xml:space="preserve">card fees </w:t>
      </w:r>
      <w:r w:rsidR="00F25486" w:rsidRPr="00DE00DC">
        <w:rPr>
          <w:rFonts w:cs="Arial"/>
          <w:color w:val="1F497D"/>
        </w:rPr>
        <w:t>shall</w:t>
      </w:r>
      <w:r w:rsidR="006D5D06" w:rsidRPr="00DE00DC">
        <w:rPr>
          <w:rFonts w:cs="Arial"/>
          <w:color w:val="1F497D"/>
        </w:rPr>
        <w:t xml:space="preserve"> be charged</w:t>
      </w:r>
      <w:r w:rsidR="003D4E25" w:rsidRPr="00DE00DC">
        <w:rPr>
          <w:rFonts w:cs="Arial"/>
          <w:color w:val="1F497D"/>
        </w:rPr>
        <w:t xml:space="preserve"> </w:t>
      </w:r>
      <w:r w:rsidR="000F1321" w:rsidRPr="00DE00DC">
        <w:rPr>
          <w:rFonts w:cs="Arial"/>
          <w:color w:val="1F497D"/>
        </w:rPr>
        <w:t>o</w:t>
      </w:r>
      <w:r w:rsidR="003D4E25" w:rsidRPr="00DE00DC">
        <w:rPr>
          <w:rFonts w:cs="Arial"/>
          <w:color w:val="1F497D"/>
        </w:rPr>
        <w:t>r billed</w:t>
      </w:r>
      <w:r w:rsidR="006D5D06" w:rsidRPr="00DE00DC">
        <w:rPr>
          <w:rFonts w:cs="Arial"/>
          <w:color w:val="1F497D"/>
        </w:rPr>
        <w:t xml:space="preserve"> to the</w:t>
      </w:r>
      <w:r w:rsidR="003D4E25" w:rsidRPr="00DE00DC">
        <w:rPr>
          <w:rFonts w:cs="Arial"/>
          <w:color w:val="1F497D"/>
        </w:rPr>
        <w:t xml:space="preserve"> Purchaser. </w:t>
      </w:r>
      <w:r w:rsidRPr="00DE00DC">
        <w:rPr>
          <w:rFonts w:cs="Arial"/>
          <w:color w:val="1F497D"/>
        </w:rPr>
        <w:t xml:space="preserve"> </w:t>
      </w:r>
    </w:p>
    <w:p w14:paraId="1D0DDBB3" w14:textId="0DDF763B" w:rsidR="00635E59" w:rsidRPr="00DE00DC" w:rsidRDefault="00635E59" w:rsidP="00943A53">
      <w:pPr>
        <w:ind w:left="360"/>
        <w:jc w:val="both"/>
        <w:rPr>
          <w:rFonts w:cs="Arial"/>
          <w:color w:val="1F497D"/>
        </w:rPr>
      </w:pPr>
      <w:r w:rsidRPr="00DE00DC">
        <w:rPr>
          <w:rFonts w:cs="Arial"/>
          <w:color w:val="1F497D"/>
        </w:rPr>
        <w:t xml:space="preserve">Purchaser shall return any invoice directly to the Contractor and notify the Contractor credit card fees are not allowed per the </w:t>
      </w:r>
      <w:r w:rsidR="00412DA9">
        <w:rPr>
          <w:rFonts w:cs="Arial"/>
          <w:color w:val="1F497D"/>
        </w:rPr>
        <w:t>WA</w:t>
      </w:r>
      <w:r w:rsidR="002F01CD">
        <w:rPr>
          <w:rFonts w:cs="Arial"/>
          <w:color w:val="1F497D"/>
        </w:rPr>
        <w:t xml:space="preserve"> </w:t>
      </w:r>
      <w:r w:rsidR="00EC6988">
        <w:rPr>
          <w:rFonts w:cs="Arial"/>
          <w:color w:val="1F497D"/>
        </w:rPr>
        <w:t xml:space="preserve">Participation Agreement </w:t>
      </w:r>
      <w:r w:rsidRPr="00DE00DC">
        <w:rPr>
          <w:rFonts w:cs="Arial"/>
          <w:color w:val="1F497D"/>
        </w:rPr>
        <w:t>#</w:t>
      </w:r>
      <w:r w:rsidR="00A9598B">
        <w:rPr>
          <w:rFonts w:cs="Arial"/>
          <w:color w:val="1F497D"/>
        </w:rPr>
        <w:t>01124</w:t>
      </w:r>
      <w:r w:rsidRPr="00DE00DC">
        <w:rPr>
          <w:rFonts w:cs="Arial"/>
          <w:color w:val="1F497D"/>
        </w:rPr>
        <w:t xml:space="preserve">.  </w:t>
      </w:r>
    </w:p>
    <w:p w14:paraId="46BEBE39" w14:textId="77777777" w:rsidR="00635E59" w:rsidRPr="00F20A83" w:rsidRDefault="00635E59" w:rsidP="00943A53">
      <w:pPr>
        <w:ind w:left="360"/>
        <w:jc w:val="both"/>
        <w:rPr>
          <w:rFonts w:cs="Arial"/>
          <w:color w:val="1F497D"/>
        </w:rPr>
      </w:pPr>
    </w:p>
    <w:p w14:paraId="7ED45C85" w14:textId="77777777" w:rsidR="00F20A83" w:rsidRPr="00F20A83" w:rsidRDefault="00F20A83" w:rsidP="00943A53">
      <w:pPr>
        <w:ind w:left="360"/>
        <w:jc w:val="both"/>
        <w:rPr>
          <w:rFonts w:cs="Arial"/>
          <w:color w:val="1F497D"/>
        </w:rPr>
      </w:pPr>
    </w:p>
    <w:p w14:paraId="632AF390" w14:textId="5C99C1D9" w:rsidR="00CD300D" w:rsidRPr="00CD300D" w:rsidRDefault="00CD300D" w:rsidP="00CD300D">
      <w:pPr>
        <w:pStyle w:val="Heading4"/>
        <w:numPr>
          <w:ilvl w:val="0"/>
          <w:numId w:val="1"/>
        </w:numPr>
        <w:ind w:left="360" w:hanging="540"/>
        <w:jc w:val="both"/>
      </w:pPr>
      <w:r w:rsidRPr="00CD300D">
        <w:t>What does it mean if the contractor is the main award vs reserved award?</w:t>
      </w:r>
    </w:p>
    <w:p w14:paraId="4FEDDD56" w14:textId="4724FFE2" w:rsidR="00CE5452" w:rsidRPr="00CE5452" w:rsidRDefault="00CE5452" w:rsidP="00CD300D">
      <w:pPr>
        <w:ind w:left="360"/>
        <w:jc w:val="both"/>
        <w:rPr>
          <w:rFonts w:cs="Arial"/>
          <w:b/>
          <w:bCs/>
          <w:color w:val="1F497D"/>
        </w:rPr>
      </w:pPr>
      <w:r w:rsidRPr="00CE5452">
        <w:rPr>
          <w:rFonts w:cs="Arial"/>
          <w:b/>
          <w:bCs/>
          <w:color w:val="1F497D"/>
        </w:rPr>
        <w:t>N/A – Reserved Award</w:t>
      </w:r>
      <w:r w:rsidR="00723D96">
        <w:rPr>
          <w:rFonts w:cs="Arial"/>
          <w:b/>
          <w:bCs/>
          <w:color w:val="1F497D"/>
        </w:rPr>
        <w:t>s</w:t>
      </w:r>
      <w:r w:rsidRPr="00CE5452">
        <w:rPr>
          <w:rFonts w:cs="Arial"/>
          <w:b/>
          <w:bCs/>
          <w:color w:val="1F497D"/>
        </w:rPr>
        <w:t xml:space="preserve"> were not awarded as a part of this WA </w:t>
      </w:r>
      <w:r w:rsidR="003E4E1C">
        <w:rPr>
          <w:rFonts w:cs="Arial"/>
          <w:b/>
          <w:bCs/>
          <w:color w:val="1F497D"/>
        </w:rPr>
        <w:t>Participation</w:t>
      </w:r>
      <w:r w:rsidRPr="00CE5452">
        <w:rPr>
          <w:rFonts w:cs="Arial"/>
          <w:b/>
          <w:bCs/>
          <w:color w:val="1F497D"/>
        </w:rPr>
        <w:t xml:space="preserve"> Agreement #</w:t>
      </w:r>
      <w:r w:rsidR="00A9598B">
        <w:rPr>
          <w:rFonts w:cs="Arial"/>
          <w:b/>
          <w:bCs/>
          <w:color w:val="1F497D"/>
        </w:rPr>
        <w:t>01124</w:t>
      </w:r>
      <w:r w:rsidR="002F01CD">
        <w:rPr>
          <w:rFonts w:cs="Arial"/>
          <w:b/>
          <w:bCs/>
          <w:color w:val="1F497D"/>
        </w:rPr>
        <w:t xml:space="preserve"> </w:t>
      </w:r>
      <w:r w:rsidR="0031696F">
        <w:rPr>
          <w:rFonts w:cs="Arial"/>
          <w:b/>
          <w:bCs/>
          <w:color w:val="1F497D"/>
        </w:rPr>
        <w:t>–</w:t>
      </w:r>
      <w:r w:rsidRPr="00CE5452">
        <w:rPr>
          <w:rFonts w:cs="Arial"/>
          <w:b/>
          <w:bCs/>
          <w:color w:val="1F497D"/>
        </w:rPr>
        <w:t xml:space="preserve"> </w:t>
      </w:r>
      <w:r w:rsidR="0031696F">
        <w:rPr>
          <w:rFonts w:cs="Arial"/>
          <w:b/>
          <w:bCs/>
          <w:color w:val="1F497D"/>
        </w:rPr>
        <w:t>Relocatable Building Solutions</w:t>
      </w:r>
      <w:r w:rsidRPr="00CE5452">
        <w:rPr>
          <w:rFonts w:cs="Arial"/>
          <w:b/>
          <w:bCs/>
          <w:color w:val="1F497D"/>
        </w:rPr>
        <w:t xml:space="preserve">. </w:t>
      </w:r>
    </w:p>
    <w:p w14:paraId="3E5ED267" w14:textId="056070F2" w:rsidR="00CE5452" w:rsidRDefault="00CE5452" w:rsidP="00CD300D">
      <w:pPr>
        <w:ind w:left="360"/>
        <w:jc w:val="both"/>
        <w:rPr>
          <w:rFonts w:cs="Arial"/>
          <w:color w:val="1F497D"/>
        </w:rPr>
      </w:pPr>
    </w:p>
    <w:p w14:paraId="01CEC32B" w14:textId="0D48D6A3" w:rsidR="00CD300D" w:rsidRPr="00CD300D" w:rsidRDefault="00CD300D" w:rsidP="00CD300D">
      <w:pPr>
        <w:ind w:left="360"/>
        <w:jc w:val="both"/>
        <w:rPr>
          <w:rFonts w:cs="Arial"/>
          <w:color w:val="1F497D"/>
        </w:rPr>
      </w:pPr>
      <w:r w:rsidRPr="00CD300D">
        <w:rPr>
          <w:rFonts w:cs="Arial"/>
          <w:color w:val="1F497D"/>
        </w:rPr>
        <w:t xml:space="preserve">The contractors designated as main awards are businesses that participated in the competitive solicitation and were determined to be the highest scored, responsive, responsible bidders with no preference. </w:t>
      </w:r>
    </w:p>
    <w:p w14:paraId="6DD6C6A3" w14:textId="77777777" w:rsidR="00CD300D" w:rsidRPr="00CD300D" w:rsidRDefault="00CD300D" w:rsidP="00CD300D">
      <w:pPr>
        <w:ind w:left="360"/>
        <w:jc w:val="both"/>
        <w:rPr>
          <w:rFonts w:cs="Arial"/>
          <w:color w:val="1F497D"/>
        </w:rPr>
      </w:pPr>
    </w:p>
    <w:p w14:paraId="7421F2A7" w14:textId="77777777" w:rsidR="00CD300D" w:rsidRPr="00CD300D" w:rsidRDefault="00CD300D" w:rsidP="00CD300D">
      <w:pPr>
        <w:ind w:left="360"/>
        <w:jc w:val="both"/>
        <w:rPr>
          <w:rFonts w:cs="Arial"/>
          <w:color w:val="1F497D"/>
        </w:rPr>
      </w:pPr>
      <w:r w:rsidRPr="00CD300D">
        <w:rPr>
          <w:rFonts w:cs="Arial"/>
          <w:color w:val="1F497D"/>
        </w:rPr>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0B2946D9" w14:textId="77777777" w:rsidR="00CD300D" w:rsidRPr="00CD300D" w:rsidRDefault="00CD300D" w:rsidP="00CD300D">
      <w:pPr>
        <w:ind w:left="360"/>
        <w:jc w:val="both"/>
        <w:rPr>
          <w:rFonts w:cs="Arial"/>
          <w:color w:val="1F497D"/>
        </w:rPr>
      </w:pPr>
    </w:p>
    <w:p w14:paraId="5566ED0D" w14:textId="77777777" w:rsidR="00CD300D" w:rsidRPr="00CD300D" w:rsidRDefault="00CD300D" w:rsidP="00CD300D">
      <w:pPr>
        <w:ind w:left="360"/>
        <w:jc w:val="both"/>
        <w:rPr>
          <w:rFonts w:cs="Arial"/>
          <w:color w:val="1F497D"/>
        </w:rPr>
      </w:pPr>
      <w:r w:rsidRPr="00CD300D">
        <w:rPr>
          <w:rFonts w:cs="Arial"/>
          <w:color w:val="1F497D"/>
        </w:rPr>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3D4CD3A2" w14:textId="77777777" w:rsidR="00CD300D" w:rsidRPr="00CD300D" w:rsidRDefault="00CD300D" w:rsidP="00CD300D">
      <w:pPr>
        <w:ind w:left="360"/>
        <w:jc w:val="both"/>
        <w:rPr>
          <w:rFonts w:cs="Arial"/>
          <w:color w:val="1F497D"/>
        </w:rPr>
      </w:pPr>
    </w:p>
    <w:p w14:paraId="76025DF0" w14:textId="478EE20B" w:rsidR="00E61E1C" w:rsidRPr="0091087F" w:rsidRDefault="00CD300D" w:rsidP="006758CA">
      <w:pPr>
        <w:pStyle w:val="Heading4"/>
        <w:numPr>
          <w:ilvl w:val="0"/>
          <w:numId w:val="1"/>
        </w:numPr>
        <w:ind w:left="360" w:hanging="540"/>
        <w:jc w:val="both"/>
      </w:pPr>
      <w:r>
        <w:t>H</w:t>
      </w:r>
      <w:r w:rsidR="00E61E1C" w:rsidRPr="0091087F">
        <w:t>ow can I provide feedback about the Contractor</w:t>
      </w:r>
      <w:r w:rsidR="0094596E" w:rsidRPr="0091087F">
        <w:t>’</w:t>
      </w:r>
      <w:r w:rsidR="00E61E1C" w:rsidRPr="0091087F">
        <w:t>s performance</w:t>
      </w:r>
      <w:r w:rsidR="0094596E" w:rsidRPr="0091087F">
        <w:t xml:space="preserve"> whether positive or negative</w:t>
      </w:r>
      <w:r w:rsidR="00073B5E" w:rsidRPr="0091087F">
        <w:t>?</w:t>
      </w:r>
    </w:p>
    <w:p w14:paraId="1FC9DE43" w14:textId="480F60D6" w:rsidR="00594F54" w:rsidRDefault="00150B24" w:rsidP="005C6BA0">
      <w:pPr>
        <w:ind w:left="360"/>
        <w:jc w:val="both"/>
      </w:pPr>
      <w:r w:rsidRPr="00DE00DC">
        <w:rPr>
          <w:rFonts w:cs="Arial"/>
          <w:color w:val="1F497D"/>
        </w:rPr>
        <w:t>Complete the feedback form</w:t>
      </w:r>
      <w:r w:rsidR="00076668" w:rsidRPr="00DE00DC">
        <w:rPr>
          <w:rFonts w:cs="Arial"/>
          <w:color w:val="1F497D"/>
        </w:rPr>
        <w:t xml:space="preserve"> and submit your comments:</w:t>
      </w:r>
      <w:r w:rsidR="00076668">
        <w:t xml:space="preserve">  </w:t>
      </w:r>
      <w:hyperlink r:id="rId27" w:history="1">
        <w:r w:rsidR="0010761E" w:rsidRPr="0010761E">
          <w:rPr>
            <w:color w:val="0000FF"/>
            <w:u w:val="single"/>
          </w:rPr>
          <w:t xml:space="preserve">Vendor </w:t>
        </w:r>
        <w:proofErr w:type="gramStart"/>
        <w:r w:rsidR="0010761E" w:rsidRPr="0010761E">
          <w:rPr>
            <w:color w:val="0000FF"/>
            <w:u w:val="single"/>
          </w:rPr>
          <w:t>And</w:t>
        </w:r>
        <w:proofErr w:type="gramEnd"/>
        <w:r w:rsidR="0010761E" w:rsidRPr="0010761E">
          <w:rPr>
            <w:color w:val="0000FF"/>
            <w:u w:val="single"/>
          </w:rPr>
          <w:t xml:space="preserve"> Contract Performance Feedback</w:t>
        </w:r>
      </w:hyperlink>
      <w:r w:rsidR="00594F54">
        <w:t xml:space="preserve"> </w:t>
      </w:r>
    </w:p>
    <w:p w14:paraId="70A8B22A" w14:textId="77777777" w:rsidR="00823D6F" w:rsidRDefault="00823D6F" w:rsidP="00073B5E">
      <w:pPr>
        <w:ind w:left="360"/>
      </w:pPr>
    </w:p>
    <w:p w14:paraId="24AFB46C" w14:textId="6A7D4D89" w:rsidR="00FA7750" w:rsidRPr="00C4029F" w:rsidRDefault="00FA7750" w:rsidP="006758CA">
      <w:pPr>
        <w:pStyle w:val="Heading4"/>
        <w:numPr>
          <w:ilvl w:val="0"/>
          <w:numId w:val="1"/>
        </w:numPr>
        <w:ind w:left="360" w:hanging="540"/>
      </w:pPr>
      <w:bookmarkStart w:id="3" w:name="FAQ_8"/>
      <w:bookmarkEnd w:id="3"/>
      <w:r w:rsidRPr="002470ED">
        <w:rPr>
          <w:sz w:val="22"/>
          <w:szCs w:val="22"/>
        </w:rPr>
        <w:t xml:space="preserve">How </w:t>
      </w:r>
      <w:r w:rsidR="0054502B" w:rsidRPr="002470ED">
        <w:rPr>
          <w:sz w:val="22"/>
          <w:szCs w:val="22"/>
        </w:rPr>
        <w:t>can</w:t>
      </w:r>
      <w:r w:rsidRPr="002470ED">
        <w:rPr>
          <w:sz w:val="22"/>
          <w:szCs w:val="22"/>
        </w:rPr>
        <w:t xml:space="preserve"> I </w:t>
      </w:r>
      <w:r w:rsidR="0054502B" w:rsidRPr="002470ED">
        <w:rPr>
          <w:sz w:val="22"/>
          <w:szCs w:val="22"/>
        </w:rPr>
        <w:t>be</w:t>
      </w:r>
      <w:r w:rsidRPr="002470ED">
        <w:rPr>
          <w:sz w:val="22"/>
          <w:szCs w:val="22"/>
        </w:rPr>
        <w:t xml:space="preserve"> involved with or participate in developing the solicitation that will replace this contract?</w:t>
      </w:r>
    </w:p>
    <w:p w14:paraId="03A96157" w14:textId="77777777" w:rsidR="00FA7750" w:rsidRDefault="00FA7750" w:rsidP="00FA7750">
      <w:pPr>
        <w:ind w:left="360"/>
        <w:jc w:val="both"/>
        <w:rPr>
          <w:rFonts w:cs="Arial"/>
          <w:color w:val="1F497D"/>
        </w:rPr>
      </w:pPr>
      <w:r w:rsidRPr="00DE00DC">
        <w:rPr>
          <w:rFonts w:cs="Arial"/>
          <w:color w:val="1F497D"/>
        </w:rPr>
        <w:t xml:space="preserve">Enterprise Services generally </w:t>
      </w:r>
      <w:proofErr w:type="gramStart"/>
      <w:r w:rsidRPr="00DE00DC">
        <w:rPr>
          <w:rFonts w:cs="Arial"/>
          <w:color w:val="1F497D"/>
        </w:rPr>
        <w:t>makes a determination</w:t>
      </w:r>
      <w:proofErr w:type="gramEnd"/>
      <w:r w:rsidRPr="00DE00DC">
        <w:rPr>
          <w:rFonts w:cs="Arial"/>
          <w:color w:val="1F497D"/>
        </w:rPr>
        <w:t xml:space="preserve"> on developing a new contract that replaces expiring contracts one year before the current contract expires.  The solicitations that are currently in development appear on the </w:t>
      </w:r>
      <w:hyperlink r:id="rId28" w:history="1">
        <w:r w:rsidRPr="00F639EA">
          <w:rPr>
            <w:rStyle w:val="Hyperlink"/>
            <w:rFonts w:cs="Arial"/>
          </w:rPr>
          <w:t>planned procurement</w:t>
        </w:r>
      </w:hyperlink>
      <w:r>
        <w:rPr>
          <w:rFonts w:cs="Arial"/>
        </w:rPr>
        <w:t xml:space="preserve"> </w:t>
      </w:r>
      <w:r w:rsidRPr="00DE00DC">
        <w:rPr>
          <w:rFonts w:cs="Arial"/>
          <w:color w:val="1F497D"/>
        </w:rPr>
        <w:t>page.  If you are interested in participating, please contact the contract administrator listed on that page.</w:t>
      </w:r>
    </w:p>
    <w:p w14:paraId="2A531FF4" w14:textId="77777777" w:rsidR="00095C0A" w:rsidRPr="00DE00DC" w:rsidRDefault="00095C0A" w:rsidP="00FA7750">
      <w:pPr>
        <w:ind w:left="360"/>
        <w:jc w:val="both"/>
        <w:rPr>
          <w:rFonts w:cs="Arial"/>
          <w:color w:val="1F497D"/>
        </w:rPr>
      </w:pPr>
    </w:p>
    <w:p w14:paraId="54A63C4D" w14:textId="1443A7B4" w:rsidR="00095C0A" w:rsidRPr="00095C0A" w:rsidRDefault="00095C0A" w:rsidP="00095C0A">
      <w:pPr>
        <w:pStyle w:val="ListParagraph"/>
        <w:numPr>
          <w:ilvl w:val="0"/>
          <w:numId w:val="1"/>
        </w:numPr>
        <w:ind w:left="360" w:hanging="630"/>
        <w:jc w:val="both"/>
        <w:rPr>
          <w:b/>
        </w:rPr>
      </w:pPr>
      <w:r w:rsidRPr="00095C0A">
        <w:rPr>
          <w:b/>
        </w:rPr>
        <w:t>How can I purchase greener products? How do I know a product is toxics free? Where did the environmental certifications/factors come from?</w:t>
      </w:r>
    </w:p>
    <w:p w14:paraId="06C76D86" w14:textId="7065A2AA" w:rsidR="00095C0A" w:rsidRPr="00496A56" w:rsidRDefault="00095C0A" w:rsidP="00095C0A">
      <w:pPr>
        <w:ind w:left="360"/>
        <w:jc w:val="both"/>
        <w:rPr>
          <w:rFonts w:cs="Arial"/>
        </w:rPr>
      </w:pPr>
      <w:bookmarkStart w:id="4" w:name="_Hlk110518879"/>
      <w:r>
        <w:rPr>
          <w:rFonts w:cs="Arial"/>
          <w:color w:val="1F497D"/>
        </w:rPr>
        <w:t>Pl</w:t>
      </w:r>
      <w:r w:rsidRPr="00095C0A">
        <w:rPr>
          <w:rFonts w:cs="Arial"/>
          <w:color w:val="1F497D"/>
        </w:rPr>
        <w:t xml:space="preserve">ease refer to the Enterprise Services </w:t>
      </w:r>
      <w:hyperlink r:id="rId29">
        <w:r w:rsidRPr="73892AB3">
          <w:rPr>
            <w:rStyle w:val="Hyperlink"/>
            <w:rFonts w:cs="Arial"/>
          </w:rPr>
          <w:t>environmentally preferred purchasing page</w:t>
        </w:r>
      </w:hyperlink>
      <w:r w:rsidRPr="73892AB3">
        <w:rPr>
          <w:rFonts w:cs="Arial"/>
        </w:rPr>
        <w:t xml:space="preserve"> </w:t>
      </w:r>
      <w:r>
        <w:rPr>
          <w:rFonts w:cs="Arial"/>
          <w:color w:val="1F497D"/>
        </w:rPr>
        <w:t>fo</w:t>
      </w:r>
      <w:r w:rsidRPr="00095C0A">
        <w:rPr>
          <w:rFonts w:cs="Arial"/>
          <w:color w:val="1F497D"/>
        </w:rPr>
        <w:t>r more information.</w:t>
      </w:r>
    </w:p>
    <w:bookmarkEnd w:id="4"/>
    <w:p w14:paraId="19217A90" w14:textId="77777777" w:rsidR="002C38A8" w:rsidRPr="00005A8A" w:rsidRDefault="002C38A8" w:rsidP="002C38A8">
      <w:pPr>
        <w:pStyle w:val="ListParagraph"/>
        <w:ind w:left="360"/>
        <w:jc w:val="both"/>
        <w:rPr>
          <w:rFonts w:cs="Arial"/>
          <w:bCs/>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5" w:name="FAQ_10"/>
      <w:bookmarkEnd w:id="5"/>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Pr="00DE00DC" w:rsidRDefault="21E46551" w:rsidP="00613E6E">
      <w:pPr>
        <w:pStyle w:val="ListParagraph"/>
        <w:ind w:left="360"/>
        <w:jc w:val="both"/>
        <w:rPr>
          <w:rFonts w:cs="Arial"/>
          <w:color w:val="1F497D"/>
        </w:rPr>
      </w:pPr>
      <w:r w:rsidRPr="00DE00DC">
        <w:rPr>
          <w:rFonts w:cs="Arial"/>
          <w:color w:val="1F497D"/>
        </w:rPr>
        <w:t xml:space="preserve">Contracts </w:t>
      </w:r>
      <w:r w:rsidR="001A34F0" w:rsidRPr="00DE00DC">
        <w:rPr>
          <w:rFonts w:cs="Arial"/>
          <w:color w:val="1F497D"/>
        </w:rPr>
        <w:t>are</w:t>
      </w:r>
      <w:r w:rsidRPr="00DE00DC">
        <w:rPr>
          <w:rFonts w:cs="Arial"/>
          <w:color w:val="1F497D"/>
        </w:rPr>
        <w:t xml:space="preserve"> awarded</w:t>
      </w:r>
      <w:r w:rsidR="001A34F0" w:rsidRPr="00DE00DC">
        <w:rPr>
          <w:rFonts w:cs="Arial"/>
          <w:color w:val="1F497D"/>
        </w:rPr>
        <w:t xml:space="preserve"> only</w:t>
      </w:r>
      <w:r w:rsidRPr="00DE00DC">
        <w:rPr>
          <w:rFonts w:cs="Arial"/>
          <w:color w:val="1F497D"/>
        </w:rPr>
        <w:t xml:space="preserve"> to contractors </w:t>
      </w:r>
      <w:r w:rsidR="001A34F0" w:rsidRPr="00DE00DC">
        <w:rPr>
          <w:rFonts w:cs="Arial"/>
          <w:color w:val="1F497D"/>
        </w:rPr>
        <w:t>who</w:t>
      </w:r>
      <w:r w:rsidRPr="00DE00DC">
        <w:rPr>
          <w:rFonts w:cs="Arial"/>
          <w:color w:val="1F497D"/>
        </w:rPr>
        <w:t xml:space="preserve"> submit</w:t>
      </w:r>
      <w:r w:rsidR="004A613D" w:rsidRPr="00DE00DC">
        <w:rPr>
          <w:rFonts w:cs="Arial"/>
          <w:color w:val="1F497D"/>
        </w:rPr>
        <w:t>ted</w:t>
      </w:r>
      <w:r w:rsidRPr="00DE00DC">
        <w:rPr>
          <w:rFonts w:cs="Arial"/>
          <w:color w:val="1F497D"/>
        </w:rPr>
        <w:t xml:space="preserve"> a bid </w:t>
      </w:r>
      <w:r w:rsidR="00264684" w:rsidRPr="00DE00DC">
        <w:rPr>
          <w:rFonts w:cs="Arial"/>
          <w:color w:val="1F497D"/>
        </w:rPr>
        <w:t>at the time</w:t>
      </w:r>
      <w:r w:rsidRPr="00DE00DC">
        <w:rPr>
          <w:rFonts w:cs="Arial"/>
          <w:color w:val="1F497D"/>
        </w:rPr>
        <w:t xml:space="preserve"> the </w:t>
      </w:r>
      <w:r w:rsidR="00A22441" w:rsidRPr="00DE00DC">
        <w:rPr>
          <w:rFonts w:cs="Arial"/>
          <w:color w:val="1F497D"/>
        </w:rPr>
        <w:t xml:space="preserve">competitive </w:t>
      </w:r>
      <w:r w:rsidR="008C7A1E" w:rsidRPr="00DE00DC">
        <w:rPr>
          <w:rFonts w:cs="Arial"/>
          <w:color w:val="1F497D"/>
        </w:rPr>
        <w:t>solicitation</w:t>
      </w:r>
      <w:r w:rsidR="00A22441" w:rsidRPr="00DE00DC">
        <w:rPr>
          <w:rFonts w:cs="Arial"/>
          <w:color w:val="1F497D"/>
        </w:rPr>
        <w:t xml:space="preserve"> </w:t>
      </w:r>
      <w:r w:rsidR="004A613D" w:rsidRPr="00DE00DC">
        <w:rPr>
          <w:rFonts w:cs="Arial"/>
          <w:color w:val="1F497D"/>
        </w:rPr>
        <w:t>wa</w:t>
      </w:r>
      <w:r w:rsidRPr="00DE00DC">
        <w:rPr>
          <w:rFonts w:cs="Arial"/>
          <w:color w:val="1F497D"/>
        </w:rPr>
        <w:t xml:space="preserve">s posted to WEBS. </w:t>
      </w:r>
    </w:p>
    <w:p w14:paraId="10847CC4" w14:textId="77777777" w:rsidR="008E57B9" w:rsidRPr="00DE00DC" w:rsidRDefault="008E57B9" w:rsidP="00613E6E">
      <w:pPr>
        <w:pStyle w:val="ListParagraph"/>
        <w:ind w:left="360"/>
        <w:jc w:val="both"/>
        <w:rPr>
          <w:rFonts w:cs="Arial"/>
          <w:color w:val="1F497D"/>
        </w:rPr>
      </w:pPr>
    </w:p>
    <w:p w14:paraId="2F6F0B7F" w14:textId="434AF8C4" w:rsidR="002A27A1" w:rsidRPr="00DE00DC" w:rsidRDefault="21E46551" w:rsidP="00613E6E">
      <w:pPr>
        <w:pStyle w:val="ListParagraph"/>
        <w:ind w:left="360"/>
        <w:jc w:val="both"/>
        <w:rPr>
          <w:rFonts w:cs="Arial"/>
          <w:color w:val="1F497D"/>
        </w:rPr>
      </w:pPr>
      <w:r w:rsidRPr="00DE00DC">
        <w:rPr>
          <w:rFonts w:cs="Arial"/>
          <w:color w:val="1F497D"/>
        </w:rPr>
        <w:t xml:space="preserve">Contracts for the state are awarded through a competitive solicitation process via </w:t>
      </w:r>
      <w:r w:rsidR="004A613D" w:rsidRPr="00DE00DC">
        <w:rPr>
          <w:rFonts w:cs="Arial"/>
          <w:color w:val="1F497D"/>
        </w:rPr>
        <w:t>the</w:t>
      </w:r>
      <w:r>
        <w:t xml:space="preserve"> </w:t>
      </w:r>
      <w:hyperlink r:id="rId30">
        <w:r w:rsidRPr="7D94BEE5">
          <w:rPr>
            <w:rStyle w:val="Hyperlink"/>
          </w:rPr>
          <w:t>online solicitation system WEBS.</w:t>
        </w:r>
      </w:hyperlink>
      <w:r>
        <w:t xml:space="preserve"> </w:t>
      </w:r>
      <w:r w:rsidR="00FA6259">
        <w:t xml:space="preserve"> </w:t>
      </w:r>
      <w:r w:rsidR="008E4AE9" w:rsidRPr="00DE00DC">
        <w:rPr>
          <w:rFonts w:cs="Arial"/>
          <w:color w:val="1F497D"/>
        </w:rPr>
        <w:t>Is your company registered in WEBS?   If not, please consider registering, as</w:t>
      </w:r>
      <w:r w:rsidR="008E4AE9" w:rsidRPr="003E4661">
        <w:t xml:space="preserve"> </w:t>
      </w:r>
      <w:hyperlink r:id="rId31" w:history="1">
        <w:r w:rsidR="008E4AE9" w:rsidRPr="003E4661">
          <w:rPr>
            <w:rStyle w:val="Hyperlink"/>
          </w:rPr>
          <w:t>WEBS</w:t>
        </w:r>
      </w:hyperlink>
      <w:r w:rsidR="008E4AE9" w:rsidRPr="003E4661">
        <w:t xml:space="preserve"> </w:t>
      </w:r>
      <w:r w:rsidR="008E4AE9" w:rsidRPr="00DE00DC">
        <w:rPr>
          <w:rFonts w:cs="Arial"/>
          <w:color w:val="1F497D"/>
        </w:rPr>
        <w:t>is where all Enterprise Services official communications is posted</w:t>
      </w:r>
      <w:r w:rsidR="00540E59" w:rsidRPr="00DE00DC">
        <w:rPr>
          <w:rFonts w:cs="Arial"/>
          <w:color w:val="1F497D"/>
        </w:rPr>
        <w:t xml:space="preserve">.  </w:t>
      </w:r>
      <w:r w:rsidR="002A3477" w:rsidRPr="00DE00DC">
        <w:rPr>
          <w:rFonts w:cs="Arial"/>
          <w:color w:val="1F497D"/>
        </w:rPr>
        <w:t>Enterprise Services</w:t>
      </w:r>
      <w:r w:rsidRPr="00DE00DC">
        <w:rPr>
          <w:rFonts w:cs="Arial"/>
          <w:color w:val="1F497D"/>
        </w:rPr>
        <w:t xml:space="preserve"> has a</w:t>
      </w:r>
      <w:r w:rsidRPr="003E4661">
        <w:t xml:space="preserve"> </w:t>
      </w:r>
      <w:hyperlink r:id="rId32">
        <w:r w:rsidRPr="003E4661">
          <w:rPr>
            <w:rStyle w:val="Hyperlink"/>
          </w:rPr>
          <w:t>registration page</w:t>
        </w:r>
      </w:hyperlink>
      <w:r w:rsidRPr="003E4661">
        <w:t xml:space="preserve"> </w:t>
      </w:r>
      <w:r w:rsidRPr="00DE00DC">
        <w:rPr>
          <w:rFonts w:cs="Arial"/>
          <w:color w:val="1F497D"/>
        </w:rPr>
        <w:t>that explains the registration process</w:t>
      </w:r>
      <w:r w:rsidR="6D98443F" w:rsidRPr="00DE00DC">
        <w:rPr>
          <w:rFonts w:cs="Arial"/>
          <w:color w:val="1F497D"/>
        </w:rPr>
        <w:t xml:space="preserve">.  </w:t>
      </w:r>
      <w:r w:rsidRPr="00DE00DC">
        <w:rPr>
          <w:rFonts w:cs="Arial"/>
          <w:color w:val="1F497D"/>
        </w:rPr>
        <w:t>If you have questions on the registration process</w:t>
      </w:r>
      <w:r w:rsidR="089CA092" w:rsidRPr="00DE00DC">
        <w:rPr>
          <w:rFonts w:cs="Arial"/>
          <w:color w:val="1F497D"/>
        </w:rPr>
        <w:t>,</w:t>
      </w:r>
      <w:r w:rsidRPr="00DE00DC">
        <w:rPr>
          <w:rFonts w:cs="Arial"/>
          <w:color w:val="1F497D"/>
        </w:rPr>
        <w:t xml:space="preserve"> please contact</w:t>
      </w:r>
      <w:r w:rsidRPr="003E4661">
        <w:t xml:space="preserve"> </w:t>
      </w:r>
      <w:hyperlink r:id="rId33">
        <w:r w:rsidRPr="003E4661">
          <w:rPr>
            <w:rStyle w:val="Hyperlink"/>
          </w:rPr>
          <w:t>WEBS customer service</w:t>
        </w:r>
      </w:hyperlink>
      <w:r w:rsidRPr="003E4661">
        <w:t>, (</w:t>
      </w:r>
      <w:r w:rsidRPr="00DE00DC">
        <w:rPr>
          <w:rFonts w:cs="Arial"/>
          <w:color w:val="1F497D"/>
        </w:rPr>
        <w:t>360) 902-7400.</w:t>
      </w:r>
    </w:p>
    <w:p w14:paraId="6AFB87B8" w14:textId="77777777" w:rsidR="001D220F" w:rsidRPr="00DE00DC" w:rsidRDefault="001D220F" w:rsidP="00613E6E">
      <w:pPr>
        <w:pStyle w:val="ListParagraph"/>
        <w:ind w:left="360"/>
        <w:jc w:val="both"/>
        <w:rPr>
          <w:rFonts w:cs="Arial"/>
          <w:color w:val="1F497D"/>
        </w:rPr>
      </w:pPr>
    </w:p>
    <w:p w14:paraId="5218CD32" w14:textId="04083355" w:rsidR="002A27A1" w:rsidRPr="00DE00DC" w:rsidRDefault="005E7119" w:rsidP="00613E6E">
      <w:pPr>
        <w:pStyle w:val="ListParagraph"/>
        <w:ind w:left="360"/>
        <w:jc w:val="both"/>
        <w:rPr>
          <w:rFonts w:cs="Arial"/>
          <w:color w:val="1F497D"/>
        </w:rPr>
      </w:pPr>
      <w:r w:rsidRPr="00DE00DC">
        <w:rPr>
          <w:rFonts w:cs="Arial"/>
          <w:color w:val="1F497D"/>
        </w:rPr>
        <w:t>Enterprise Services</w:t>
      </w:r>
      <w:r w:rsidR="21E46551" w:rsidRPr="00DE00DC">
        <w:rPr>
          <w:rFonts w:cs="Arial"/>
          <w:color w:val="1F497D"/>
        </w:rPr>
        <w:t xml:space="preserve"> also has information on </w:t>
      </w:r>
      <w:hyperlink r:id="rId34">
        <w:r w:rsidR="21E46551" w:rsidRPr="00DE00DC">
          <w:rPr>
            <w:rFonts w:cs="Arial"/>
            <w:color w:val="1F497D"/>
          </w:rPr>
          <w:t>doing business with the state</w:t>
        </w:r>
      </w:hyperlink>
      <w:r w:rsidR="21E46551" w:rsidRPr="00DE00DC">
        <w:rPr>
          <w:rFonts w:cs="Arial"/>
          <w:color w:val="1F497D"/>
        </w:rPr>
        <w:t xml:space="preserve"> for review. There is also a page on</w:t>
      </w:r>
      <w:r w:rsidR="21E46551">
        <w:t xml:space="preserve"> </w:t>
      </w:r>
      <w:hyperlink r:id="rId35">
        <w:r w:rsidR="21E46551" w:rsidRPr="7D94BEE5">
          <w:rPr>
            <w:rStyle w:val="Hyperlink"/>
          </w:rPr>
          <w:t>bid opportunities</w:t>
        </w:r>
      </w:hyperlink>
      <w:r w:rsidR="21E46551">
        <w:t xml:space="preserve"> </w:t>
      </w:r>
      <w:r w:rsidR="21E46551" w:rsidRPr="00DE00DC">
        <w:rPr>
          <w:rFonts w:cs="Arial"/>
          <w:color w:val="1F497D"/>
        </w:rPr>
        <w:t xml:space="preserve">with </w:t>
      </w:r>
      <w:r w:rsidR="1AE79286" w:rsidRPr="00DE00DC">
        <w:rPr>
          <w:rFonts w:cs="Arial"/>
          <w:color w:val="1F497D"/>
        </w:rPr>
        <w:t>Enterprise Services</w:t>
      </w:r>
      <w:r w:rsidR="21E46551" w:rsidRPr="00DE00DC">
        <w:rPr>
          <w:rFonts w:cs="Arial"/>
          <w:color w:val="1F497D"/>
        </w:rPr>
        <w:t xml:space="preserve">, though all official opportunities are posted through WEBS. </w:t>
      </w:r>
    </w:p>
    <w:p w14:paraId="629192DF" w14:textId="77777777" w:rsidR="008D61A9" w:rsidRPr="00496A56" w:rsidRDefault="008D61A9" w:rsidP="008D61A9">
      <w:pPr>
        <w:ind w:left="360"/>
        <w:jc w:val="both"/>
        <w:rPr>
          <w:rFonts w:cs="Arial"/>
        </w:rPr>
      </w:pPr>
    </w:p>
    <w:p w14:paraId="076532DB" w14:textId="2732BD24" w:rsidR="0008480F" w:rsidRDefault="00C85F93" w:rsidP="0008480F">
      <w:pPr>
        <w:pStyle w:val="Heading4"/>
        <w:numPr>
          <w:ilvl w:val="0"/>
          <w:numId w:val="2"/>
        </w:numPr>
        <w:ind w:left="360"/>
        <w:jc w:val="both"/>
      </w:pPr>
      <w:bookmarkStart w:id="6" w:name="FAQ_11"/>
      <w:bookmarkEnd w:id="6"/>
      <w:r>
        <w:t>W</w:t>
      </w:r>
      <w:r w:rsidR="00F51BC4">
        <w:t xml:space="preserve">hat information should the Contractor include when invoicing the Purchaser? </w:t>
      </w:r>
    </w:p>
    <w:p w14:paraId="29577F88" w14:textId="1D8904B6" w:rsidR="0008480F" w:rsidRDefault="00F51BC4" w:rsidP="0008480F">
      <w:pPr>
        <w:ind w:left="360"/>
        <w:rPr>
          <w:rFonts w:cs="Arial"/>
          <w:color w:val="1F497D"/>
        </w:rPr>
      </w:pPr>
      <w:r>
        <w:rPr>
          <w:rFonts w:cs="Arial"/>
          <w:color w:val="1F497D"/>
        </w:rPr>
        <w:t xml:space="preserve">See </w:t>
      </w:r>
      <w:r w:rsidR="00A64001" w:rsidRPr="0033798A">
        <w:rPr>
          <w:rFonts w:cs="Arial"/>
          <w:color w:val="1F497D"/>
        </w:rPr>
        <w:t>provision</w:t>
      </w:r>
      <w:r w:rsidR="009927F0" w:rsidRPr="0033798A">
        <w:rPr>
          <w:rFonts w:cs="Arial"/>
          <w:color w:val="1F497D"/>
        </w:rPr>
        <w:t xml:space="preserve"> </w:t>
      </w:r>
      <w:r w:rsidR="0033798A" w:rsidRPr="0033798A">
        <w:rPr>
          <w:rFonts w:cs="Arial"/>
          <w:b/>
          <w:bCs/>
          <w:i/>
          <w:iCs/>
          <w:color w:val="1F497D"/>
        </w:rPr>
        <w:t>5</w:t>
      </w:r>
      <w:r w:rsidR="00EC4FC1" w:rsidRPr="0033798A">
        <w:rPr>
          <w:rFonts w:cs="Arial"/>
          <w:b/>
          <w:bCs/>
          <w:i/>
          <w:iCs/>
          <w:color w:val="1F497D"/>
        </w:rPr>
        <w:t>.</w:t>
      </w:r>
      <w:r w:rsidR="0033798A" w:rsidRPr="0033798A">
        <w:rPr>
          <w:rFonts w:cs="Arial"/>
          <w:b/>
          <w:bCs/>
          <w:i/>
          <w:iCs/>
          <w:color w:val="1F497D"/>
        </w:rPr>
        <w:t>9</w:t>
      </w:r>
      <w:r w:rsidR="0008480F" w:rsidRPr="0033798A">
        <w:rPr>
          <w:rFonts w:cs="Arial"/>
          <w:b/>
          <w:bCs/>
          <w:i/>
          <w:iCs/>
          <w:color w:val="1F497D"/>
        </w:rPr>
        <w:t xml:space="preserve"> </w:t>
      </w:r>
      <w:r w:rsidR="00EC4FC1" w:rsidRPr="0033798A">
        <w:rPr>
          <w:rFonts w:cs="Arial"/>
          <w:b/>
          <w:bCs/>
          <w:i/>
          <w:iCs/>
          <w:color w:val="1F497D"/>
        </w:rPr>
        <w:t>Contractor’s Sales</w:t>
      </w:r>
      <w:r w:rsidR="00EC4FC1">
        <w:rPr>
          <w:rFonts w:cs="Arial"/>
          <w:b/>
          <w:bCs/>
          <w:i/>
          <w:iCs/>
          <w:color w:val="1F497D"/>
        </w:rPr>
        <w:t xml:space="preserve"> Authority; Purchase Orders; &amp; </w:t>
      </w:r>
      <w:r w:rsidR="0008480F" w:rsidRPr="0008480F">
        <w:rPr>
          <w:rFonts w:cs="Arial"/>
          <w:b/>
          <w:bCs/>
          <w:i/>
          <w:iCs/>
          <w:color w:val="1F497D"/>
        </w:rPr>
        <w:t>Invoic</w:t>
      </w:r>
      <w:r w:rsidR="00EC4FC1">
        <w:rPr>
          <w:rFonts w:cs="Arial"/>
          <w:b/>
          <w:bCs/>
          <w:i/>
          <w:iCs/>
          <w:color w:val="1F497D"/>
        </w:rPr>
        <w:t>es</w:t>
      </w:r>
      <w:r w:rsidR="00C72728">
        <w:rPr>
          <w:rFonts w:cs="Arial"/>
          <w:b/>
          <w:bCs/>
          <w:i/>
          <w:iCs/>
          <w:color w:val="1F497D"/>
        </w:rPr>
        <w:t xml:space="preserve"> (c)</w:t>
      </w:r>
      <w:r>
        <w:rPr>
          <w:rFonts w:cs="Arial"/>
          <w:b/>
          <w:bCs/>
          <w:i/>
          <w:iCs/>
          <w:color w:val="1F497D"/>
        </w:rPr>
        <w:t xml:space="preserve"> (page</w:t>
      </w:r>
      <w:r w:rsidR="00EC4FC1">
        <w:rPr>
          <w:rFonts w:cs="Arial"/>
          <w:b/>
          <w:bCs/>
          <w:i/>
          <w:iCs/>
          <w:color w:val="1F497D"/>
        </w:rPr>
        <w:t xml:space="preserve"> </w:t>
      </w:r>
      <w:r w:rsidR="0033798A">
        <w:rPr>
          <w:rFonts w:cs="Arial"/>
          <w:b/>
          <w:bCs/>
          <w:i/>
          <w:iCs/>
          <w:color w:val="1F497D"/>
        </w:rPr>
        <w:t>7</w:t>
      </w:r>
      <w:r>
        <w:rPr>
          <w:rFonts w:cs="Arial"/>
          <w:b/>
          <w:bCs/>
          <w:i/>
          <w:iCs/>
          <w:color w:val="1F497D"/>
        </w:rPr>
        <w:t>)</w:t>
      </w:r>
      <w:r w:rsidR="0008480F">
        <w:rPr>
          <w:rFonts w:cs="Arial"/>
          <w:color w:val="1F497D"/>
        </w:rPr>
        <w:t xml:space="preserve"> </w:t>
      </w:r>
      <w:r>
        <w:rPr>
          <w:rFonts w:cs="Arial"/>
          <w:color w:val="1F497D"/>
        </w:rPr>
        <w:t>detail</w:t>
      </w:r>
      <w:r w:rsidR="00EC4FC1">
        <w:rPr>
          <w:rFonts w:cs="Arial"/>
          <w:color w:val="1F497D"/>
        </w:rPr>
        <w:t>ing</w:t>
      </w:r>
      <w:r>
        <w:rPr>
          <w:rFonts w:cs="Arial"/>
          <w:color w:val="1F497D"/>
        </w:rPr>
        <w:t xml:space="preserve"> </w:t>
      </w:r>
      <w:r w:rsidR="0008480F" w:rsidRPr="0008480F">
        <w:rPr>
          <w:rFonts w:cs="Arial"/>
          <w:color w:val="1F497D"/>
        </w:rPr>
        <w:t>invoic</w:t>
      </w:r>
      <w:r w:rsidR="00EC4FC1">
        <w:rPr>
          <w:rFonts w:cs="Arial"/>
          <w:color w:val="1F497D"/>
        </w:rPr>
        <w:t>e</w:t>
      </w:r>
      <w:r w:rsidR="0008480F" w:rsidRPr="0008480F">
        <w:rPr>
          <w:rFonts w:cs="Arial"/>
          <w:color w:val="1F497D"/>
        </w:rPr>
        <w:t xml:space="preserve"> requirements</w:t>
      </w:r>
      <w:r w:rsidR="0008480F">
        <w:rPr>
          <w:rFonts w:cs="Arial"/>
          <w:color w:val="1F497D"/>
        </w:rPr>
        <w:t>.</w:t>
      </w:r>
    </w:p>
    <w:tbl>
      <w:tblPr>
        <w:tblStyle w:val="TableGrid1"/>
        <w:tblW w:w="8820" w:type="dxa"/>
        <w:tblInd w:w="35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8820"/>
      </w:tblGrid>
      <w:tr w:rsidR="0008480F" w:rsidRPr="00810B08" w14:paraId="5D1DCABF" w14:textId="77777777" w:rsidTr="0008480F">
        <w:tc>
          <w:tcPr>
            <w:tcW w:w="8820" w:type="dxa"/>
            <w:vAlign w:val="center"/>
          </w:tcPr>
          <w:p w14:paraId="3871713E" w14:textId="242F2450" w:rsidR="0008480F" w:rsidRPr="00F51BC4" w:rsidRDefault="00F51BC4" w:rsidP="0008480F">
            <w:pPr>
              <w:spacing w:before="80"/>
              <w:ind w:right="720"/>
              <w:rPr>
                <w:rFonts w:eastAsiaTheme="majorEastAsia" w:cs="Arial"/>
                <w:b/>
                <w:bCs/>
                <w:color w:val="1F497D"/>
                <w:lang w:bidi="en-US"/>
              </w:rPr>
            </w:pPr>
            <w:r w:rsidRPr="00F51BC4">
              <w:rPr>
                <w:rFonts w:eastAsiaTheme="majorEastAsia" w:cs="Arial"/>
                <w:b/>
                <w:bCs/>
                <w:color w:val="1F497D"/>
                <w:lang w:bidi="en-US"/>
              </w:rPr>
              <w:t>Invoices shall</w:t>
            </w:r>
            <w:r w:rsidR="009927F0">
              <w:rPr>
                <w:rFonts w:eastAsiaTheme="majorEastAsia" w:cs="Arial"/>
                <w:b/>
                <w:bCs/>
                <w:color w:val="1F497D"/>
                <w:lang w:bidi="en-US"/>
              </w:rPr>
              <w:t xml:space="preserve"> reflect accurately </w:t>
            </w:r>
            <w:r w:rsidR="002F01CD">
              <w:rPr>
                <w:rFonts w:eastAsiaTheme="majorEastAsia" w:cs="Arial"/>
                <w:b/>
                <w:bCs/>
                <w:color w:val="1F497D"/>
                <w:lang w:bidi="en-US"/>
              </w:rPr>
              <w:t>P</w:t>
            </w:r>
            <w:r w:rsidR="009927F0">
              <w:rPr>
                <w:rFonts w:eastAsiaTheme="majorEastAsia" w:cs="Arial"/>
                <w:b/>
                <w:bCs/>
                <w:color w:val="1F497D"/>
                <w:lang w:bidi="en-US"/>
              </w:rPr>
              <w:t>urchaser Agreement prices and must</w:t>
            </w:r>
            <w:r w:rsidRPr="00F51BC4">
              <w:rPr>
                <w:rFonts w:eastAsiaTheme="majorEastAsia" w:cs="Arial"/>
                <w:b/>
                <w:bCs/>
                <w:color w:val="1F497D"/>
                <w:lang w:bidi="en-US"/>
              </w:rPr>
              <w:t xml:space="preserve"> itemize the </w:t>
            </w:r>
            <w:proofErr w:type="gramStart"/>
            <w:r w:rsidRPr="00F51BC4">
              <w:rPr>
                <w:rFonts w:eastAsiaTheme="majorEastAsia" w:cs="Arial"/>
                <w:b/>
                <w:bCs/>
                <w:color w:val="1F497D"/>
                <w:lang w:bidi="en-US"/>
              </w:rPr>
              <w:t>following</w:t>
            </w:r>
            <w:r w:rsidR="009927F0">
              <w:rPr>
                <w:rFonts w:eastAsiaTheme="majorEastAsia" w:cs="Arial"/>
                <w:b/>
                <w:bCs/>
                <w:color w:val="1F497D"/>
                <w:lang w:bidi="en-US"/>
              </w:rPr>
              <w:t xml:space="preserve"> </w:t>
            </w:r>
            <w:r w:rsidRPr="00F51BC4">
              <w:rPr>
                <w:rFonts w:eastAsiaTheme="majorEastAsia" w:cs="Arial"/>
                <w:b/>
                <w:bCs/>
                <w:color w:val="1F497D"/>
                <w:lang w:bidi="en-US"/>
              </w:rPr>
              <w:t>:</w:t>
            </w:r>
            <w:proofErr w:type="gramEnd"/>
          </w:p>
        </w:tc>
      </w:tr>
      <w:tr w:rsidR="00F51BC4" w:rsidRPr="00810B08" w14:paraId="0DFD80A6" w14:textId="77777777" w:rsidTr="0008480F">
        <w:tc>
          <w:tcPr>
            <w:tcW w:w="8820" w:type="dxa"/>
            <w:vAlign w:val="center"/>
          </w:tcPr>
          <w:p w14:paraId="0BB0857B" w14:textId="05C5E694" w:rsidR="00F51BC4" w:rsidRPr="00F51BC4" w:rsidRDefault="00F51BC4" w:rsidP="0008480F">
            <w:pPr>
              <w:spacing w:before="80"/>
              <w:ind w:right="720"/>
              <w:rPr>
                <w:rFonts w:cs="Arial"/>
                <w:color w:val="1F497D"/>
              </w:rPr>
            </w:pPr>
            <w:r w:rsidRPr="00F51BC4">
              <w:rPr>
                <w:rFonts w:eastAsiaTheme="majorEastAsia" w:cs="Arial"/>
                <w:color w:val="1F497D"/>
                <w:lang w:bidi="en-US"/>
              </w:rPr>
              <w:t xml:space="preserve">DES Contract No. </w:t>
            </w:r>
            <w:r w:rsidR="00A9598B">
              <w:rPr>
                <w:rFonts w:eastAsiaTheme="majorEastAsia" w:cs="Arial"/>
                <w:b/>
                <w:bCs/>
                <w:color w:val="1F497D"/>
                <w:lang w:bidi="en-US"/>
              </w:rPr>
              <w:t>01124</w:t>
            </w:r>
            <w:r w:rsidR="002F01CD">
              <w:rPr>
                <w:rFonts w:eastAsiaTheme="majorEastAsia" w:cs="Arial"/>
                <w:color w:val="1F497D"/>
                <w:lang w:bidi="en-US"/>
              </w:rPr>
              <w:t xml:space="preserve"> </w:t>
            </w:r>
          </w:p>
        </w:tc>
      </w:tr>
      <w:tr w:rsidR="00C92026" w:rsidRPr="00810B08" w14:paraId="6BA08CB1" w14:textId="77777777" w:rsidTr="0008480F">
        <w:tc>
          <w:tcPr>
            <w:tcW w:w="8820" w:type="dxa"/>
            <w:vAlign w:val="center"/>
          </w:tcPr>
          <w:p w14:paraId="5960A4D6" w14:textId="1AD82A72" w:rsidR="00C92026" w:rsidRPr="00F51BC4" w:rsidRDefault="00C92026" w:rsidP="0008480F">
            <w:pPr>
              <w:spacing w:before="80"/>
              <w:ind w:right="720"/>
              <w:rPr>
                <w:rFonts w:eastAsiaTheme="majorEastAsia" w:cs="Arial"/>
                <w:color w:val="1F497D"/>
                <w:lang w:bidi="en-US"/>
              </w:rPr>
            </w:pPr>
            <w:r>
              <w:rPr>
                <w:rFonts w:eastAsiaTheme="majorEastAsia" w:cs="Arial"/>
                <w:color w:val="1F497D"/>
                <w:lang w:bidi="en-US"/>
              </w:rPr>
              <w:t xml:space="preserve">Sourcewell Master Agreement </w:t>
            </w:r>
            <w:r w:rsidRPr="00C92026">
              <w:rPr>
                <w:rFonts w:eastAsiaTheme="majorEastAsia" w:cs="Arial"/>
                <w:b/>
                <w:bCs/>
                <w:color w:val="1F497D"/>
                <w:lang w:bidi="en-US"/>
              </w:rPr>
              <w:t xml:space="preserve">#:  </w:t>
            </w:r>
            <w:r w:rsidR="00A66C86">
              <w:rPr>
                <w:rFonts w:eastAsiaTheme="majorEastAsia" w:cs="Arial"/>
                <w:b/>
                <w:bCs/>
                <w:color w:val="1F497D"/>
                <w:lang w:bidi="en-US"/>
              </w:rPr>
              <w:t>120822</w:t>
            </w:r>
            <w:r w:rsidRPr="00C92026">
              <w:rPr>
                <w:rFonts w:eastAsiaTheme="majorEastAsia" w:cs="Arial"/>
                <w:b/>
                <w:bCs/>
                <w:color w:val="1F497D"/>
                <w:lang w:bidi="en-US"/>
              </w:rPr>
              <w:t>-M</w:t>
            </w:r>
            <w:r w:rsidR="00A66C86">
              <w:rPr>
                <w:rFonts w:eastAsiaTheme="majorEastAsia" w:cs="Arial"/>
                <w:b/>
                <w:bCs/>
                <w:color w:val="1F497D"/>
                <w:lang w:bidi="en-US"/>
              </w:rPr>
              <w:t>MR</w:t>
            </w:r>
          </w:p>
        </w:tc>
      </w:tr>
      <w:tr w:rsidR="0008480F" w:rsidRPr="00810B08" w14:paraId="4D0F6F88" w14:textId="77777777" w:rsidTr="0008480F">
        <w:tc>
          <w:tcPr>
            <w:tcW w:w="8820" w:type="dxa"/>
            <w:vAlign w:val="center"/>
          </w:tcPr>
          <w:p w14:paraId="5AF7EA5C" w14:textId="355B168D" w:rsidR="0008480F" w:rsidRPr="00F51BC4" w:rsidRDefault="0008480F" w:rsidP="0008480F">
            <w:pPr>
              <w:spacing w:before="60" w:after="60"/>
              <w:rPr>
                <w:rFonts w:eastAsiaTheme="majorEastAsia" w:cs="Arial"/>
                <w:color w:val="1F497D"/>
                <w:lang w:bidi="en-US"/>
              </w:rPr>
            </w:pPr>
            <w:r w:rsidRPr="00F51BC4">
              <w:rPr>
                <w:rFonts w:eastAsiaTheme="majorEastAsia" w:cs="Arial"/>
                <w:color w:val="1F497D"/>
                <w:lang w:bidi="en-US"/>
              </w:rPr>
              <w:t xml:space="preserve">Contractor </w:t>
            </w:r>
            <w:r w:rsidR="002A2168">
              <w:rPr>
                <w:rFonts w:eastAsiaTheme="majorEastAsia" w:cs="Arial"/>
                <w:color w:val="1F497D"/>
                <w:lang w:bidi="en-US"/>
              </w:rPr>
              <w:t xml:space="preserve">statewide vendor registration number assigned by WA State of Office of Financial Mgt (OFM) </w:t>
            </w:r>
          </w:p>
        </w:tc>
      </w:tr>
      <w:tr w:rsidR="0008480F" w:rsidRPr="00810B08" w14:paraId="13372B2B" w14:textId="77777777" w:rsidTr="0008480F">
        <w:tc>
          <w:tcPr>
            <w:tcW w:w="8820" w:type="dxa"/>
            <w:vAlign w:val="center"/>
          </w:tcPr>
          <w:p w14:paraId="6436968F" w14:textId="387B5E2F" w:rsidR="0008480F" w:rsidRPr="00F51BC4" w:rsidRDefault="002A2168" w:rsidP="0008480F">
            <w:pPr>
              <w:spacing w:before="80"/>
              <w:ind w:right="720"/>
              <w:jc w:val="both"/>
              <w:rPr>
                <w:rFonts w:eastAsiaTheme="majorEastAsia" w:cs="Arial"/>
                <w:color w:val="1F497D"/>
                <w:lang w:bidi="en-US"/>
              </w:rPr>
            </w:pPr>
            <w:r>
              <w:rPr>
                <w:rFonts w:eastAsiaTheme="majorEastAsia" w:cs="Arial"/>
                <w:color w:val="1F497D"/>
                <w:lang w:bidi="en-US"/>
              </w:rPr>
              <w:t xml:space="preserve">Applicable </w:t>
            </w:r>
            <w:r w:rsidR="0008480F" w:rsidRPr="00F51BC4">
              <w:rPr>
                <w:rFonts w:eastAsiaTheme="majorEastAsia" w:cs="Arial"/>
                <w:color w:val="1F497D"/>
                <w:lang w:bidi="en-US"/>
              </w:rPr>
              <w:t>Purchaser’s Purchaser Order No., name, address; and email address</w:t>
            </w:r>
          </w:p>
        </w:tc>
      </w:tr>
      <w:tr w:rsidR="0008480F" w:rsidRPr="00810B08" w14:paraId="173DD319" w14:textId="77777777" w:rsidTr="0008480F">
        <w:tc>
          <w:tcPr>
            <w:tcW w:w="8820" w:type="dxa"/>
            <w:vAlign w:val="center"/>
          </w:tcPr>
          <w:p w14:paraId="6010A529" w14:textId="0FA32B51" w:rsidR="0008480F" w:rsidRPr="00F51BC4" w:rsidRDefault="00F30899" w:rsidP="0008480F">
            <w:pPr>
              <w:spacing w:before="80"/>
              <w:ind w:right="720"/>
              <w:jc w:val="both"/>
              <w:rPr>
                <w:rFonts w:eastAsiaTheme="majorEastAsia" w:cs="Arial"/>
                <w:color w:val="1F497D"/>
                <w:lang w:bidi="en-US"/>
              </w:rPr>
            </w:pPr>
            <w:r>
              <w:rPr>
                <w:rFonts w:eastAsiaTheme="majorEastAsia" w:cs="Arial"/>
                <w:color w:val="1F497D"/>
                <w:lang w:bidi="en-US"/>
              </w:rPr>
              <w:t>Applicable Goods/Services</w:t>
            </w:r>
          </w:p>
        </w:tc>
      </w:tr>
      <w:tr w:rsidR="0008480F" w:rsidRPr="00810B08" w14:paraId="4707A614" w14:textId="77777777" w:rsidTr="0008480F">
        <w:tc>
          <w:tcPr>
            <w:tcW w:w="8820" w:type="dxa"/>
            <w:vAlign w:val="center"/>
          </w:tcPr>
          <w:p w14:paraId="6663EE8E" w14:textId="2B9813A0" w:rsidR="0008480F" w:rsidRPr="00F51BC4" w:rsidRDefault="00F30899" w:rsidP="0008480F">
            <w:pPr>
              <w:spacing w:before="80"/>
              <w:ind w:right="720"/>
              <w:jc w:val="both"/>
              <w:rPr>
                <w:rFonts w:eastAsiaTheme="majorEastAsia" w:cs="Arial"/>
                <w:color w:val="1F497D"/>
                <w:lang w:bidi="en-US"/>
              </w:rPr>
            </w:pPr>
            <w:r>
              <w:rPr>
                <w:rFonts w:eastAsiaTheme="majorEastAsia" w:cs="Arial"/>
                <w:color w:val="1F497D"/>
                <w:lang w:bidi="en-US"/>
              </w:rPr>
              <w:t xml:space="preserve">Invoice Amount </w:t>
            </w:r>
          </w:p>
        </w:tc>
      </w:tr>
    </w:tbl>
    <w:p w14:paraId="4D7C22B9" w14:textId="77777777" w:rsidR="00667F7F" w:rsidRDefault="00667F7F" w:rsidP="0008480F"/>
    <w:p w14:paraId="05BC725F" w14:textId="3C362C74" w:rsidR="008D61A9" w:rsidRPr="00C4029F" w:rsidRDefault="0008480F" w:rsidP="00A92A7E">
      <w:pPr>
        <w:pStyle w:val="Heading4"/>
        <w:numPr>
          <w:ilvl w:val="0"/>
          <w:numId w:val="2"/>
        </w:numPr>
        <w:ind w:left="360"/>
        <w:jc w:val="both"/>
      </w:pPr>
      <w:r>
        <w:t>W</w:t>
      </w:r>
      <w:r w:rsidR="00F914ED" w:rsidRPr="00C4029F">
        <w:t>ho do I contact if I have</w:t>
      </w:r>
      <w:r w:rsidR="00EF548C">
        <w:t xml:space="preserve"> an</w:t>
      </w:r>
      <w:r w:rsidR="00F914ED" w:rsidRPr="00C4029F">
        <w:t xml:space="preserve"> invoice or </w:t>
      </w:r>
      <w:r w:rsidR="00F3769C" w:rsidRPr="00C4029F">
        <w:t>v</w:t>
      </w:r>
      <w:r w:rsidR="00AB3B0A" w:rsidRPr="00C4029F">
        <w:t xml:space="preserve">endor </w:t>
      </w:r>
      <w:r w:rsidR="00F3769C" w:rsidRPr="00C4029F">
        <w:t>m</w:t>
      </w:r>
      <w:r w:rsidR="00AB3B0A" w:rsidRPr="00C4029F">
        <w:t>anagement</w:t>
      </w:r>
      <w:r w:rsidR="00F914ED" w:rsidRPr="00C4029F">
        <w:t xml:space="preserve"> fee </w:t>
      </w:r>
      <w:r w:rsidR="00EF548C">
        <w:t>(</w:t>
      </w:r>
      <w:proofErr w:type="spellStart"/>
      <w:r w:rsidR="00EF548C">
        <w:t>VMF</w:t>
      </w:r>
      <w:proofErr w:type="spellEnd"/>
      <w:r w:rsidR="00EF548C">
        <w:t xml:space="preserve">) </w:t>
      </w:r>
      <w:r w:rsidR="00F914ED" w:rsidRPr="00C4029F">
        <w:t>question?</w:t>
      </w:r>
    </w:p>
    <w:p w14:paraId="297C5592" w14:textId="66347FCE" w:rsidR="008D61A9" w:rsidRPr="00DE00DC" w:rsidRDefault="00496A56" w:rsidP="008D61A9">
      <w:pPr>
        <w:ind w:left="360"/>
        <w:jc w:val="both"/>
        <w:rPr>
          <w:rFonts w:cs="Arial"/>
          <w:color w:val="1F497D"/>
        </w:rPr>
      </w:pPr>
      <w:r w:rsidRPr="00DE00DC">
        <w:rPr>
          <w:rFonts w:cs="Arial"/>
          <w:color w:val="1F497D"/>
        </w:rPr>
        <w:t xml:space="preserve">Please contact the </w:t>
      </w:r>
      <w:r w:rsidR="00F3769C" w:rsidRPr="00DE00DC">
        <w:rPr>
          <w:rFonts w:cs="Arial"/>
          <w:color w:val="1F497D"/>
        </w:rPr>
        <w:t>c</w:t>
      </w:r>
      <w:r w:rsidRPr="00DE00DC">
        <w:rPr>
          <w:rFonts w:cs="Arial"/>
          <w:color w:val="1F497D"/>
        </w:rPr>
        <w:t xml:space="preserve">ontract </w:t>
      </w:r>
      <w:r w:rsidR="00F3769C" w:rsidRPr="00DE00DC">
        <w:rPr>
          <w:rFonts w:cs="Arial"/>
          <w:color w:val="1F497D"/>
        </w:rPr>
        <w:t>a</w:t>
      </w:r>
      <w:r w:rsidRPr="00DE00DC">
        <w:rPr>
          <w:rFonts w:cs="Arial"/>
          <w:color w:val="1F497D"/>
        </w:rPr>
        <w:t xml:space="preserve">dministrator listed on the </w:t>
      </w:r>
      <w:r w:rsidR="007227AB">
        <w:rPr>
          <w:rFonts w:cs="Arial"/>
          <w:color w:val="1F497D"/>
        </w:rPr>
        <w:t xml:space="preserve">DES </w:t>
      </w:r>
      <w:r w:rsidRPr="00DE00DC">
        <w:rPr>
          <w:rFonts w:cs="Arial"/>
          <w:color w:val="1F497D"/>
        </w:rPr>
        <w:t>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7" w:name="FAQ_12"/>
      <w:bookmarkEnd w:id="7"/>
      <w:r w:rsidRPr="00C4029F">
        <w:t>When are quarterly sales reporting due?</w:t>
      </w:r>
    </w:p>
    <w:p w14:paraId="0B66223E" w14:textId="1D2B2758" w:rsidR="00496A56" w:rsidRDefault="00A64001" w:rsidP="00496A56">
      <w:pPr>
        <w:ind w:left="360"/>
        <w:jc w:val="both"/>
        <w:rPr>
          <w:rFonts w:cs="Arial"/>
          <w:color w:val="1F497D"/>
        </w:rPr>
      </w:pPr>
      <w:r w:rsidRPr="00C637C0">
        <w:rPr>
          <w:rFonts w:cs="Arial"/>
          <w:color w:val="1F497D"/>
        </w:rPr>
        <w:t xml:space="preserve">See provision </w:t>
      </w:r>
      <w:r w:rsidR="00C637C0" w:rsidRPr="00C637C0">
        <w:rPr>
          <w:rFonts w:cs="Arial"/>
          <w:b/>
          <w:bCs/>
          <w:i/>
          <w:iCs/>
          <w:color w:val="1F497D"/>
        </w:rPr>
        <w:t>5</w:t>
      </w:r>
      <w:r w:rsidRPr="00C637C0">
        <w:rPr>
          <w:rFonts w:cs="Arial"/>
          <w:b/>
          <w:bCs/>
          <w:i/>
          <w:iCs/>
          <w:color w:val="1F497D"/>
        </w:rPr>
        <w:t xml:space="preserve">.3 (c): </w:t>
      </w:r>
      <w:r w:rsidR="00496A56" w:rsidRPr="00C637C0">
        <w:rPr>
          <w:rFonts w:cs="Arial"/>
          <w:color w:val="1F497D"/>
        </w:rPr>
        <w:t>Quarterly</w:t>
      </w:r>
      <w:r w:rsidR="00496A56" w:rsidRPr="00DE00DC">
        <w:rPr>
          <w:rFonts w:cs="Arial"/>
          <w:color w:val="1F497D"/>
        </w:rPr>
        <w:t xml:space="preserve"> sales reports are due and past due based on the following timeframes: </w:t>
      </w:r>
    </w:p>
    <w:p w14:paraId="28F2056C" w14:textId="77777777" w:rsidR="00C637C0" w:rsidRPr="00DE00DC" w:rsidRDefault="00C637C0" w:rsidP="00496A56">
      <w:pPr>
        <w:ind w:left="360"/>
        <w:jc w:val="both"/>
        <w:rPr>
          <w:rFonts w:cs="Arial"/>
          <w:color w:val="1F497D"/>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eastAsia="Times New Roman"/>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eastAsia="Times New Roman"/>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eastAsia="Times New Roman"/>
                <w:bCs/>
              </w:rPr>
            </w:pPr>
            <w:r w:rsidRPr="00810B08">
              <w:rPr>
                <w:rFonts w:eastAsia="Times New Roman"/>
                <w:bCs/>
              </w:rPr>
              <w:t>1</w:t>
            </w:r>
          </w:p>
        </w:tc>
        <w:tc>
          <w:tcPr>
            <w:tcW w:w="2520" w:type="dxa"/>
            <w:vAlign w:val="center"/>
          </w:tcPr>
          <w:p w14:paraId="5059A8E1" w14:textId="77777777" w:rsidR="00810B08" w:rsidRPr="00810B08" w:rsidRDefault="00810B08" w:rsidP="00810B08">
            <w:pPr>
              <w:spacing w:before="60" w:after="60"/>
              <w:jc w:val="center"/>
              <w:rPr>
                <w:rFonts w:eastAsia="Times New Roman"/>
                <w:bCs/>
              </w:rPr>
            </w:pPr>
            <w:r w:rsidRPr="00810B08">
              <w:rPr>
                <w:rFonts w:eastAsia="Times New Roman"/>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eastAsia="Times New Roman"/>
                <w:bCs/>
              </w:rPr>
            </w:pPr>
            <w:r w:rsidRPr="00810B08">
              <w:rPr>
                <w:rFonts w:eastAsia="Times New Roman"/>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eastAsia="Times New Roman"/>
                <w:bCs/>
              </w:rPr>
            </w:pPr>
            <w:r w:rsidRPr="00810B08">
              <w:rPr>
                <w:rFonts w:eastAsia="Times New Roman"/>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eastAsia="Times New Roman"/>
                <w:bCs/>
              </w:rPr>
            </w:pPr>
            <w:r w:rsidRPr="00810B08">
              <w:rPr>
                <w:rFonts w:eastAsia="Times New Roman"/>
                <w:bCs/>
              </w:rPr>
              <w:t>2</w:t>
            </w:r>
          </w:p>
        </w:tc>
        <w:tc>
          <w:tcPr>
            <w:tcW w:w="2520" w:type="dxa"/>
            <w:vAlign w:val="center"/>
          </w:tcPr>
          <w:p w14:paraId="29C8BF24" w14:textId="77777777" w:rsidR="00810B08" w:rsidRPr="00810B08" w:rsidRDefault="00810B08" w:rsidP="00810B08">
            <w:pPr>
              <w:spacing w:before="60" w:after="60"/>
              <w:jc w:val="center"/>
              <w:rPr>
                <w:rFonts w:eastAsia="Times New Roman"/>
                <w:bCs/>
              </w:rPr>
            </w:pPr>
            <w:r w:rsidRPr="00810B08">
              <w:rPr>
                <w:rFonts w:eastAsia="Times New Roman"/>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eastAsia="Times New Roman"/>
                <w:bCs/>
              </w:rPr>
            </w:pPr>
            <w:r w:rsidRPr="00810B08">
              <w:rPr>
                <w:rFonts w:eastAsia="Times New Roman"/>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eastAsia="Times New Roman"/>
                <w:bCs/>
              </w:rPr>
            </w:pPr>
            <w:r w:rsidRPr="00810B08">
              <w:rPr>
                <w:rFonts w:eastAsia="Times New Roman"/>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eastAsia="Times New Roman"/>
                <w:bCs/>
              </w:rPr>
            </w:pPr>
            <w:r w:rsidRPr="00810B08">
              <w:rPr>
                <w:rFonts w:eastAsia="Times New Roman"/>
                <w:bCs/>
              </w:rPr>
              <w:t>3</w:t>
            </w:r>
          </w:p>
        </w:tc>
        <w:tc>
          <w:tcPr>
            <w:tcW w:w="2520" w:type="dxa"/>
            <w:vAlign w:val="center"/>
          </w:tcPr>
          <w:p w14:paraId="08F76861" w14:textId="77777777" w:rsidR="00810B08" w:rsidRPr="00810B08" w:rsidRDefault="00810B08" w:rsidP="00810B08">
            <w:pPr>
              <w:spacing w:before="60" w:after="60"/>
              <w:jc w:val="center"/>
              <w:rPr>
                <w:rFonts w:eastAsia="Times New Roman"/>
                <w:bCs/>
              </w:rPr>
            </w:pPr>
            <w:r w:rsidRPr="00810B08">
              <w:rPr>
                <w:rFonts w:eastAsia="Times New Roman"/>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eastAsia="Times New Roman"/>
                <w:bCs/>
              </w:rPr>
            </w:pPr>
            <w:r w:rsidRPr="00810B08">
              <w:rPr>
                <w:rFonts w:eastAsia="Times New Roman"/>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eastAsia="Times New Roman"/>
                <w:bCs/>
              </w:rPr>
            </w:pPr>
            <w:r w:rsidRPr="00810B08">
              <w:rPr>
                <w:rFonts w:eastAsia="Times New Roman"/>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eastAsia="Times New Roman"/>
                <w:bCs/>
              </w:rPr>
            </w:pPr>
            <w:r w:rsidRPr="00810B08">
              <w:rPr>
                <w:rFonts w:eastAsia="Times New Roman"/>
                <w:bCs/>
              </w:rPr>
              <w:t>4</w:t>
            </w:r>
          </w:p>
        </w:tc>
        <w:tc>
          <w:tcPr>
            <w:tcW w:w="2520" w:type="dxa"/>
            <w:vAlign w:val="center"/>
          </w:tcPr>
          <w:p w14:paraId="1D912394" w14:textId="77777777" w:rsidR="00810B08" w:rsidRPr="00810B08" w:rsidRDefault="00810B08" w:rsidP="00810B08">
            <w:pPr>
              <w:spacing w:before="60" w:after="60"/>
              <w:jc w:val="center"/>
              <w:rPr>
                <w:rFonts w:eastAsia="Times New Roman"/>
                <w:bCs/>
              </w:rPr>
            </w:pPr>
            <w:r w:rsidRPr="00810B08">
              <w:rPr>
                <w:rFonts w:eastAsia="Times New Roman"/>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eastAsia="Times New Roman"/>
                <w:bCs/>
              </w:rPr>
            </w:pPr>
            <w:r w:rsidRPr="00810B08">
              <w:rPr>
                <w:rFonts w:eastAsia="Times New Roman"/>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eastAsia="Times New Roman"/>
                <w:bCs/>
              </w:rPr>
            </w:pPr>
            <w:r w:rsidRPr="00810B08">
              <w:rPr>
                <w:rFonts w:eastAsia="Times New Roman"/>
                <w:bCs/>
              </w:rPr>
              <w:t>February 1</w:t>
            </w:r>
          </w:p>
        </w:tc>
      </w:tr>
    </w:tbl>
    <w:p w14:paraId="740DEF5B" w14:textId="77777777" w:rsidR="00C71357" w:rsidRPr="00DE00DC" w:rsidRDefault="00C71357" w:rsidP="008D61A9">
      <w:pPr>
        <w:ind w:left="360"/>
        <w:jc w:val="both"/>
        <w:rPr>
          <w:rFonts w:cs="Arial"/>
          <w:color w:val="1F497D"/>
        </w:rPr>
      </w:pPr>
    </w:p>
    <w:p w14:paraId="7E1B54C0" w14:textId="009DAF4E" w:rsidR="005F5FED" w:rsidRPr="00DE00DC" w:rsidRDefault="00D044EF" w:rsidP="008D61A9">
      <w:pPr>
        <w:ind w:left="360"/>
        <w:jc w:val="both"/>
        <w:rPr>
          <w:rFonts w:cs="Arial"/>
          <w:color w:val="1F497D"/>
        </w:rPr>
      </w:pPr>
      <w:r w:rsidRPr="00DE00DC">
        <w:rPr>
          <w:rFonts w:cs="Arial"/>
          <w:color w:val="1F497D"/>
        </w:rPr>
        <w:t xml:space="preserve">Contractor shall pay to Enterprise Services a </w:t>
      </w:r>
      <w:r w:rsidR="00392460" w:rsidRPr="00DE00DC">
        <w:rPr>
          <w:rFonts w:cs="Arial"/>
          <w:color w:val="1F497D"/>
        </w:rPr>
        <w:t>V</w:t>
      </w:r>
      <w:r w:rsidRPr="00DE00DC">
        <w:rPr>
          <w:rFonts w:cs="Arial"/>
          <w:color w:val="1F497D"/>
        </w:rPr>
        <w:t xml:space="preserve">endor </w:t>
      </w:r>
      <w:r w:rsidR="00392460" w:rsidRPr="00DE00DC">
        <w:rPr>
          <w:rFonts w:cs="Arial"/>
          <w:color w:val="1F497D"/>
        </w:rPr>
        <w:t>M</w:t>
      </w:r>
      <w:r w:rsidRPr="00DE00DC">
        <w:rPr>
          <w:rFonts w:cs="Arial"/>
          <w:color w:val="1F497D"/>
        </w:rPr>
        <w:t xml:space="preserve">anagement </w:t>
      </w:r>
      <w:r w:rsidR="00392460" w:rsidRPr="00DE00DC">
        <w:rPr>
          <w:rFonts w:cs="Arial"/>
          <w:color w:val="1F497D"/>
        </w:rPr>
        <w:t>F</w:t>
      </w:r>
      <w:r w:rsidRPr="00DE00DC">
        <w:rPr>
          <w:rFonts w:cs="Arial"/>
          <w:color w:val="1F497D"/>
        </w:rPr>
        <w:t>ee (“</w:t>
      </w:r>
      <w:proofErr w:type="spellStart"/>
      <w:r w:rsidRPr="00DE00DC">
        <w:rPr>
          <w:rFonts w:cs="Arial"/>
          <w:color w:val="1F497D"/>
        </w:rPr>
        <w:t>VMF</w:t>
      </w:r>
      <w:proofErr w:type="spellEnd"/>
      <w:r w:rsidRPr="00DE00DC">
        <w:rPr>
          <w:rFonts w:cs="Arial"/>
          <w:color w:val="1F497D"/>
        </w:rPr>
        <w:t>”) of 1.5</w:t>
      </w:r>
      <w:r w:rsidR="00365AD9" w:rsidRPr="00DE00DC">
        <w:rPr>
          <w:rFonts w:cs="Arial"/>
          <w:color w:val="1F497D"/>
        </w:rPr>
        <w:t>%</w:t>
      </w:r>
      <w:r w:rsidRPr="00DE00DC">
        <w:rPr>
          <w:rFonts w:cs="Arial"/>
          <w:color w:val="1F497D"/>
        </w:rPr>
        <w:t xml:space="preserve"> percent on the purchase price for all Contract sales (the purchase price is the total invoice price less applicable sales tax).</w:t>
      </w:r>
    </w:p>
    <w:p w14:paraId="321EED99" w14:textId="77777777" w:rsidR="00D044EF" w:rsidRPr="00DE00DC" w:rsidRDefault="00D044EF" w:rsidP="008D61A9">
      <w:pPr>
        <w:ind w:left="360"/>
        <w:jc w:val="both"/>
        <w:rPr>
          <w:rFonts w:cs="Arial"/>
          <w:color w:val="1F497D"/>
        </w:rPr>
      </w:pPr>
    </w:p>
    <w:p w14:paraId="39B00477" w14:textId="4492D46D" w:rsidR="00A375E7" w:rsidRDefault="00A375E7" w:rsidP="00A375E7">
      <w:pPr>
        <w:ind w:left="360"/>
        <w:jc w:val="both"/>
        <w:rPr>
          <w:rFonts w:cs="Arial"/>
        </w:rPr>
      </w:pPr>
      <w:r w:rsidRPr="00DE00DC">
        <w:rPr>
          <w:rFonts w:cs="Arial"/>
          <w:color w:val="1F497D"/>
        </w:rPr>
        <w:t>Please check the</w:t>
      </w:r>
      <w:r w:rsidRPr="00A375E7">
        <w:rPr>
          <w:rFonts w:cs="Arial"/>
        </w:rPr>
        <w:t xml:space="preserve"> </w:t>
      </w:r>
      <w:bookmarkStart w:id="8"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8"/>
      <w:r w:rsidRPr="00A375E7">
        <w:rPr>
          <w:rFonts w:cs="Arial"/>
        </w:rPr>
        <w:t xml:space="preserve"> </w:t>
      </w:r>
      <w:r w:rsidRPr="00DE00DC">
        <w:rPr>
          <w:rFonts w:cs="Arial"/>
          <w:color w:val="1F497D"/>
        </w:rPr>
        <w:t>which has the following general</w:t>
      </w:r>
      <w:r w:rsidRPr="00A375E7">
        <w:rPr>
          <w:rFonts w:cs="Arial"/>
        </w:rPr>
        <w:t xml:space="preserve"> </w:t>
      </w:r>
      <w:hyperlink r:id="rId36"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5ADDC956" w14:textId="0E76D80E" w:rsidR="00CE27F9" w:rsidRDefault="00541E9F" w:rsidP="005F3CC7">
      <w:pPr>
        <w:pStyle w:val="Heading4"/>
        <w:numPr>
          <w:ilvl w:val="0"/>
          <w:numId w:val="2"/>
        </w:numPr>
        <w:ind w:left="360"/>
        <w:jc w:val="both"/>
      </w:pPr>
      <w:bookmarkStart w:id="9" w:name="FAQ_13"/>
      <w:bookmarkEnd w:id="9"/>
      <w:r>
        <w:t>Does our Firm have to maintain a WEBS account</w:t>
      </w:r>
      <w:r w:rsidR="00CE27F9">
        <w:t xml:space="preserve">?  </w:t>
      </w:r>
    </w:p>
    <w:p w14:paraId="1ABD2917" w14:textId="6B833BE5" w:rsidR="00C719E6" w:rsidRPr="00CE27F9" w:rsidRDefault="00C719E6" w:rsidP="00C719E6">
      <w:pPr>
        <w:ind w:left="360"/>
        <w:jc w:val="both"/>
      </w:pPr>
      <w:r w:rsidRPr="00C637C0">
        <w:rPr>
          <w:rFonts w:cs="Arial"/>
          <w:b/>
          <w:bCs/>
          <w:i/>
          <w:iCs/>
          <w:color w:val="1F497D"/>
        </w:rPr>
        <w:t xml:space="preserve">Section </w:t>
      </w:r>
      <w:r w:rsidR="00C637C0" w:rsidRPr="00C637C0">
        <w:rPr>
          <w:rFonts w:cs="Arial"/>
          <w:b/>
          <w:bCs/>
          <w:i/>
          <w:iCs/>
          <w:color w:val="1F497D"/>
        </w:rPr>
        <w:t>5</w:t>
      </w:r>
      <w:r w:rsidR="00541E9F" w:rsidRPr="00C637C0">
        <w:rPr>
          <w:rFonts w:cs="Arial"/>
          <w:b/>
          <w:bCs/>
          <w:i/>
          <w:iCs/>
          <w:color w:val="1F497D"/>
        </w:rPr>
        <w:t>.</w:t>
      </w:r>
      <w:r w:rsidRPr="00C637C0">
        <w:rPr>
          <w:rFonts w:cs="Arial"/>
          <w:b/>
          <w:bCs/>
          <w:i/>
          <w:iCs/>
          <w:color w:val="1F497D"/>
        </w:rPr>
        <w:t xml:space="preserve">1 </w:t>
      </w:r>
      <w:r w:rsidR="00541E9F" w:rsidRPr="00C637C0">
        <w:rPr>
          <w:rFonts w:cs="Arial"/>
          <w:b/>
          <w:bCs/>
          <w:i/>
          <w:iCs/>
          <w:color w:val="1F497D"/>
        </w:rPr>
        <w:t>Washington’s Electronic</w:t>
      </w:r>
      <w:r w:rsidR="00541E9F">
        <w:rPr>
          <w:rFonts w:cs="Arial"/>
          <w:b/>
          <w:bCs/>
          <w:i/>
          <w:iCs/>
          <w:color w:val="1F497D"/>
        </w:rPr>
        <w:t xml:space="preserve"> Business Solutions (WEBS) System</w:t>
      </w:r>
      <w:r w:rsidRPr="006658C5">
        <w:rPr>
          <w:color w:val="000000"/>
        </w:rPr>
        <w:t xml:space="preserve"> </w:t>
      </w:r>
      <w:r w:rsidR="00541E9F">
        <w:rPr>
          <w:rFonts w:cs="Arial"/>
          <w:color w:val="1F497D"/>
        </w:rPr>
        <w:t>provision</w:t>
      </w:r>
      <w:r w:rsidRPr="00DE00DC">
        <w:rPr>
          <w:rFonts w:cs="Arial"/>
          <w:color w:val="1F497D"/>
        </w:rPr>
        <w:t xml:space="preserve"> </w:t>
      </w:r>
      <w:r w:rsidR="00541E9F">
        <w:rPr>
          <w:rFonts w:cs="Arial"/>
          <w:color w:val="1F497D"/>
        </w:rPr>
        <w:t xml:space="preserve">states Contractor shall register in WEBS and shall ensure that </w:t>
      </w:r>
      <w:proofErr w:type="gramStart"/>
      <w:r w:rsidR="00541E9F">
        <w:rPr>
          <w:rFonts w:cs="Arial"/>
          <w:color w:val="1F497D"/>
        </w:rPr>
        <w:t>all of</w:t>
      </w:r>
      <w:proofErr w:type="gramEnd"/>
      <w:r w:rsidR="00541E9F">
        <w:rPr>
          <w:rFonts w:cs="Arial"/>
          <w:color w:val="1F497D"/>
        </w:rPr>
        <w:t xml:space="preserve"> their Firm’s information therein is current and accurate and that throughout the term of the Sourcewell Master Agreement, Contractor shall maintain an accurate profile in WEBS</w:t>
      </w:r>
      <w:r w:rsidR="006D40B2">
        <w:rPr>
          <w:rFonts w:cs="Arial"/>
          <w:color w:val="1F497D"/>
        </w:rPr>
        <w:t xml:space="preserve">. </w:t>
      </w:r>
      <w:r w:rsidRPr="00DE00DC">
        <w:rPr>
          <w:rFonts w:cs="Arial"/>
          <w:color w:val="1F497D"/>
        </w:rPr>
        <w:t xml:space="preserve"> </w:t>
      </w:r>
    </w:p>
    <w:p w14:paraId="0F526A4A" w14:textId="77777777" w:rsidR="00F30899" w:rsidRDefault="00F30899" w:rsidP="00F30899">
      <w:pPr>
        <w:ind w:left="360"/>
      </w:pPr>
    </w:p>
    <w:p w14:paraId="4EF5A4BF" w14:textId="51B83E5C" w:rsidR="008D61A9" w:rsidRPr="00C4029F" w:rsidRDefault="00F30899" w:rsidP="00816D70">
      <w:pPr>
        <w:pStyle w:val="Heading4"/>
        <w:numPr>
          <w:ilvl w:val="0"/>
          <w:numId w:val="2"/>
        </w:numPr>
        <w:ind w:left="360"/>
      </w:pPr>
      <w:r>
        <w:t>W</w:t>
      </w:r>
      <w:r w:rsidR="00F914ED" w:rsidRPr="00C4029F">
        <w:t xml:space="preserve">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w:t>
      </w:r>
      <w:proofErr w:type="spellStart"/>
      <w:r w:rsidR="00FA6259">
        <w:t>VMF</w:t>
      </w:r>
      <w:proofErr w:type="spellEnd"/>
      <w:r w:rsidR="00FA6259">
        <w:t>)</w:t>
      </w:r>
      <w:r w:rsidR="00A375E7" w:rsidRPr="00C4029F">
        <w:t xml:space="preserve"> </w:t>
      </w:r>
      <w:r w:rsidR="00F914ED" w:rsidRPr="00C4029F">
        <w:t>invoices due?</w:t>
      </w:r>
    </w:p>
    <w:p w14:paraId="40BE18EA" w14:textId="2CCE197C" w:rsidR="008D61A9" w:rsidRPr="00DE00DC" w:rsidRDefault="00496A56" w:rsidP="008D61A9">
      <w:pPr>
        <w:ind w:left="360"/>
        <w:jc w:val="both"/>
        <w:rPr>
          <w:rFonts w:cs="Arial"/>
          <w:color w:val="1F497D"/>
        </w:rPr>
      </w:pPr>
      <w:r w:rsidRPr="00DE00DC">
        <w:rPr>
          <w:rFonts w:cs="Arial"/>
          <w:color w:val="1F497D"/>
        </w:rPr>
        <w:t xml:space="preserve">After sales have been reported, </w:t>
      </w:r>
      <w:r w:rsidR="00F3769C" w:rsidRPr="00DE00DC">
        <w:rPr>
          <w:rFonts w:cs="Arial"/>
          <w:color w:val="1F497D"/>
        </w:rPr>
        <w:t>c</w:t>
      </w:r>
      <w:r w:rsidRPr="00DE00DC">
        <w:rPr>
          <w:rFonts w:cs="Arial"/>
          <w:color w:val="1F497D"/>
        </w:rPr>
        <w:t xml:space="preserve">ontractors will receive an invoice to remit to </w:t>
      </w:r>
      <w:r w:rsidR="006B1599" w:rsidRPr="00DE00DC">
        <w:rPr>
          <w:rFonts w:cs="Arial"/>
          <w:color w:val="1F497D"/>
        </w:rPr>
        <w:t>Enterprise Services</w:t>
      </w:r>
      <w:r w:rsidRPr="00DE00DC">
        <w:rPr>
          <w:rFonts w:cs="Arial"/>
          <w:color w:val="1F497D"/>
        </w:rPr>
        <w:t xml:space="preserve"> the </w:t>
      </w:r>
      <w:r w:rsidR="00F3769C" w:rsidRPr="00DE00DC">
        <w:rPr>
          <w:rFonts w:cs="Arial"/>
          <w:color w:val="1F497D"/>
        </w:rPr>
        <w:t xml:space="preserve">vendor </w:t>
      </w:r>
      <w:r w:rsidRPr="00DE00DC">
        <w:rPr>
          <w:rFonts w:cs="Arial"/>
          <w:color w:val="1F497D"/>
        </w:rPr>
        <w:t xml:space="preserve">management fee payment. </w:t>
      </w:r>
      <w:r w:rsidR="00FA6259" w:rsidRPr="00DE00DC">
        <w:rPr>
          <w:rFonts w:cs="Arial"/>
          <w:color w:val="1F497D"/>
        </w:rPr>
        <w:t xml:space="preserve"> </w:t>
      </w:r>
      <w:r w:rsidRPr="00DE00DC">
        <w:rPr>
          <w:rFonts w:cs="Arial"/>
          <w:color w:val="1F497D"/>
        </w:rPr>
        <w:t xml:space="preserve">Please wait to receive an invoice from </w:t>
      </w:r>
      <w:r w:rsidR="006B1599" w:rsidRPr="00DE00DC">
        <w:rPr>
          <w:rFonts w:cs="Arial"/>
          <w:color w:val="1F497D"/>
        </w:rPr>
        <w:t>Enterprise Services</w:t>
      </w:r>
      <w:r w:rsidRPr="00DE00DC">
        <w:rPr>
          <w:rFonts w:cs="Arial"/>
          <w:color w:val="1F497D"/>
        </w:rPr>
        <w:t xml:space="preserve"> before sending payment. </w:t>
      </w:r>
      <w:r w:rsidR="00FA6259" w:rsidRPr="00DE00DC">
        <w:rPr>
          <w:rFonts w:cs="Arial"/>
          <w:color w:val="1F497D"/>
        </w:rPr>
        <w:t xml:space="preserve"> </w:t>
      </w:r>
      <w:r w:rsidRPr="00DE00DC">
        <w:rPr>
          <w:rFonts w:cs="Arial"/>
          <w:color w:val="1F497D"/>
        </w:rPr>
        <w:t xml:space="preserve">This is to ensure your payment can be identified, accepted, and applied correctly. Contractor must pay the </w:t>
      </w:r>
      <w:r w:rsidR="00F3769C" w:rsidRPr="00DE00DC">
        <w:rPr>
          <w:rFonts w:cs="Arial"/>
          <w:color w:val="1F497D"/>
        </w:rPr>
        <w:t xml:space="preserve">vendor </w:t>
      </w:r>
      <w:r w:rsidR="00A375E7" w:rsidRPr="00DE00DC">
        <w:rPr>
          <w:rFonts w:cs="Arial"/>
          <w:color w:val="1F497D"/>
        </w:rPr>
        <w:t xml:space="preserve">management fee </w:t>
      </w:r>
      <w:r w:rsidR="00457012" w:rsidRPr="00DE00DC">
        <w:rPr>
          <w:rFonts w:cs="Arial"/>
          <w:color w:val="1F497D"/>
        </w:rPr>
        <w:t>(</w:t>
      </w:r>
      <w:proofErr w:type="spellStart"/>
      <w:r w:rsidR="00457012" w:rsidRPr="00DE00DC">
        <w:rPr>
          <w:rFonts w:cs="Arial"/>
          <w:color w:val="1F497D"/>
        </w:rPr>
        <w:t>VMF</w:t>
      </w:r>
      <w:proofErr w:type="spellEnd"/>
      <w:r w:rsidR="00457012" w:rsidRPr="00DE00DC">
        <w:rPr>
          <w:rFonts w:cs="Arial"/>
          <w:color w:val="1F497D"/>
        </w:rPr>
        <w:t xml:space="preserve">) </w:t>
      </w:r>
      <w:r w:rsidR="00A375E7" w:rsidRPr="00DE00DC">
        <w:rPr>
          <w:rFonts w:cs="Arial"/>
          <w:color w:val="1F497D"/>
        </w:rPr>
        <w:t>invoice</w:t>
      </w:r>
      <w:r w:rsidRPr="00DE00DC">
        <w:rPr>
          <w:rFonts w:cs="Arial"/>
          <w:color w:val="1F497D"/>
        </w:rPr>
        <w:t xml:space="preserve"> within thirty (30) calendar days</w:t>
      </w:r>
      <w:r w:rsidR="00A375E7" w:rsidRPr="00DE00DC">
        <w:rPr>
          <w:rFonts w:cs="Arial"/>
          <w:color w:val="1F497D"/>
        </w:rPr>
        <w:t>.</w:t>
      </w:r>
    </w:p>
    <w:p w14:paraId="57CEA791" w14:textId="77777777" w:rsidR="008D61A9" w:rsidRPr="00496A56" w:rsidRDefault="008D61A9" w:rsidP="008D61A9">
      <w:pPr>
        <w:ind w:left="360"/>
        <w:jc w:val="both"/>
        <w:rPr>
          <w:rFonts w:cs="Arial"/>
        </w:rPr>
      </w:pPr>
    </w:p>
    <w:p w14:paraId="2DFF485C" w14:textId="514CEE64" w:rsidR="008D61A9" w:rsidRPr="00C4029F" w:rsidRDefault="00F914ED" w:rsidP="00816D70">
      <w:pPr>
        <w:pStyle w:val="Heading4"/>
        <w:numPr>
          <w:ilvl w:val="0"/>
          <w:numId w:val="2"/>
        </w:numPr>
        <w:ind w:left="360"/>
      </w:pPr>
      <w:bookmarkStart w:id="10" w:name="FAQ_14"/>
      <w:bookmarkEnd w:id="10"/>
      <w:r w:rsidRPr="00C4029F">
        <w:t xml:space="preserve">Who do I </w:t>
      </w:r>
      <w:r w:rsidR="00F3769C" w:rsidRPr="00C4029F">
        <w:t xml:space="preserve">contact </w:t>
      </w:r>
      <w:r w:rsidR="005601D7">
        <w:t xml:space="preserve">at Enterprise Services </w:t>
      </w:r>
      <w:r w:rsidRPr="00C4029F">
        <w:t>for contact updates?</w:t>
      </w:r>
    </w:p>
    <w:p w14:paraId="3587AD5E" w14:textId="45650098" w:rsidR="008D61A9" w:rsidRPr="00DE00DC" w:rsidRDefault="00496A56" w:rsidP="008D61A9">
      <w:pPr>
        <w:ind w:left="360"/>
        <w:jc w:val="both"/>
        <w:rPr>
          <w:rFonts w:cs="Arial"/>
          <w:color w:val="1F497D"/>
        </w:rPr>
      </w:pPr>
      <w:r w:rsidRPr="00DE00DC">
        <w:rPr>
          <w:rFonts w:cs="Arial"/>
          <w:color w:val="1F497D"/>
        </w:rPr>
        <w:t xml:space="preserve">Please contact the </w:t>
      </w:r>
      <w:r w:rsidR="00F3769C" w:rsidRPr="00DE00DC">
        <w:rPr>
          <w:rFonts w:cs="Arial"/>
          <w:color w:val="1F497D"/>
        </w:rPr>
        <w:t>c</w:t>
      </w:r>
      <w:r w:rsidRPr="00DE00DC">
        <w:rPr>
          <w:rFonts w:cs="Arial"/>
          <w:color w:val="1F497D"/>
        </w:rPr>
        <w:t xml:space="preserve">ontract </w:t>
      </w:r>
      <w:r w:rsidR="00F3769C" w:rsidRPr="00DE00DC">
        <w:rPr>
          <w:rFonts w:cs="Arial"/>
          <w:color w:val="1F497D"/>
        </w:rPr>
        <w:t>a</w:t>
      </w:r>
      <w:r w:rsidRPr="00DE00DC">
        <w:rPr>
          <w:rFonts w:cs="Arial"/>
          <w:color w:val="1F497D"/>
        </w:rPr>
        <w:t xml:space="preserve">dministrator listed on the </w:t>
      </w:r>
      <w:r w:rsidR="007227AB">
        <w:rPr>
          <w:rFonts w:cs="Arial"/>
          <w:color w:val="1F497D"/>
        </w:rPr>
        <w:t xml:space="preserve">DES </w:t>
      </w:r>
      <w:r w:rsidRPr="00DE00DC">
        <w:rPr>
          <w:rFonts w:cs="Arial"/>
          <w:color w:val="1F497D"/>
        </w:rPr>
        <w:t>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1" w:name="FAQ_15"/>
      <w:bookmarkEnd w:id="11"/>
      <w:r w:rsidRPr="00C4029F">
        <w:t>How do I check for authorized purchasers?</w:t>
      </w:r>
    </w:p>
    <w:p w14:paraId="489A6A6C" w14:textId="77777777" w:rsidR="004E645E" w:rsidRDefault="00496A56" w:rsidP="004E645E">
      <w:pPr>
        <w:pStyle w:val="ListParagraph"/>
        <w:ind w:left="360"/>
        <w:jc w:val="both"/>
        <w:rPr>
          <w:rFonts w:cs="Arial"/>
          <w:color w:val="1F497D"/>
        </w:rPr>
      </w:pPr>
      <w:r w:rsidRPr="00DE00DC">
        <w:rPr>
          <w:rFonts w:cs="Arial"/>
          <w:color w:val="1F497D"/>
        </w:rPr>
        <w:t>Please check the</w:t>
      </w:r>
      <w:r w:rsidRPr="00496A56">
        <w:t xml:space="preserve"> </w:t>
      </w:r>
      <w:hyperlink r:id="rId37" w:history="1">
        <w:r w:rsidRPr="00496A56">
          <w:rPr>
            <w:rStyle w:val="Hyperlink"/>
          </w:rPr>
          <w:t>Contracts Usage Agreement (CUA) signed agreement list</w:t>
        </w:r>
      </w:hyperlink>
      <w:r w:rsidRPr="00496A56">
        <w:t xml:space="preserve"> t</w:t>
      </w:r>
      <w:r w:rsidRPr="00DE00DC">
        <w:rPr>
          <w:rFonts w:cs="Arial"/>
          <w:color w:val="1F497D"/>
        </w:rPr>
        <w:t xml:space="preserve">o see the list of authorized purchasers for </w:t>
      </w:r>
      <w:r w:rsidR="006B1599" w:rsidRPr="00DE00DC">
        <w:rPr>
          <w:rFonts w:cs="Arial"/>
          <w:color w:val="1F497D"/>
        </w:rPr>
        <w:t>Enterprise Services</w:t>
      </w:r>
      <w:r w:rsidRPr="00DE00DC">
        <w:rPr>
          <w:rFonts w:cs="Arial"/>
          <w:color w:val="1F497D"/>
        </w:rPr>
        <w:t xml:space="preserve"> contracts. </w:t>
      </w:r>
      <w:r w:rsidR="00E971E3" w:rsidRPr="00DE00DC">
        <w:rPr>
          <w:rFonts w:cs="Arial"/>
          <w:color w:val="1F497D"/>
        </w:rPr>
        <w:t xml:space="preserve">The </w:t>
      </w:r>
      <w:hyperlink r:id="rId38" w:history="1">
        <w:hyperlink r:id="rId39" w:history="1">
          <w:r w:rsidR="00E971E3" w:rsidRPr="00114333">
            <w:rPr>
              <w:rStyle w:val="Hyperlink"/>
              <w:rFonts w:asciiTheme="majorHAnsi" w:hAnsiTheme="majorHAnsi" w:cstheme="majorHAnsi"/>
            </w:rPr>
            <w:t>Washington State website</w:t>
          </w:r>
        </w:hyperlink>
      </w:hyperlink>
      <w:r w:rsidRPr="00496A56">
        <w:t xml:space="preserve"> c</w:t>
      </w:r>
      <w:r w:rsidRPr="00DE00DC">
        <w:rPr>
          <w:rFonts w:cs="Arial"/>
          <w:color w:val="1F497D"/>
        </w:rPr>
        <w:t xml:space="preserve">an help navigate to </w:t>
      </w:r>
      <w:r w:rsidR="00F3769C" w:rsidRPr="00DE00DC">
        <w:rPr>
          <w:rFonts w:cs="Arial"/>
          <w:color w:val="1F497D"/>
        </w:rPr>
        <w:t xml:space="preserve">the </w:t>
      </w:r>
      <w:r w:rsidRPr="00DE00DC">
        <w:rPr>
          <w:rFonts w:cs="Arial"/>
          <w:color w:val="1F497D"/>
        </w:rPr>
        <w:t>government</w:t>
      </w:r>
      <w:r w:rsidR="00F3769C" w:rsidRPr="00DE00DC">
        <w:rPr>
          <w:rFonts w:cs="Arial"/>
          <w:color w:val="1F497D"/>
        </w:rPr>
        <w:t>al</w:t>
      </w:r>
      <w:r w:rsidRPr="00DE00DC">
        <w:rPr>
          <w:rFonts w:cs="Arial"/>
          <w:color w:val="1F497D"/>
        </w:rPr>
        <w:t xml:space="preserve"> entities on the list.  </w:t>
      </w:r>
    </w:p>
    <w:p w14:paraId="154285C3" w14:textId="77777777" w:rsidR="004E645E" w:rsidRDefault="004E645E" w:rsidP="004E645E">
      <w:pPr>
        <w:pStyle w:val="ListParagraph"/>
        <w:ind w:left="360"/>
        <w:jc w:val="both"/>
        <w:rPr>
          <w:rFonts w:cs="Arial"/>
          <w:color w:val="1F497D"/>
        </w:rPr>
      </w:pPr>
    </w:p>
    <w:p w14:paraId="0951D760" w14:textId="178CFB90" w:rsidR="004E645E" w:rsidRPr="004E645E" w:rsidRDefault="004E645E" w:rsidP="004E645E">
      <w:pPr>
        <w:pStyle w:val="ListParagraph"/>
        <w:numPr>
          <w:ilvl w:val="0"/>
          <w:numId w:val="2"/>
        </w:numPr>
        <w:ind w:left="360"/>
        <w:jc w:val="both"/>
      </w:pPr>
      <w:r w:rsidRPr="004E645E">
        <w:rPr>
          <w:rFonts w:cs="Arial"/>
          <w:b/>
          <w:bCs/>
        </w:rPr>
        <w:t>How</w:t>
      </w:r>
      <w:r w:rsidRPr="004E645E">
        <w:rPr>
          <w:b/>
        </w:rPr>
        <w:t xml:space="preserve"> do I report EPP purchases? How do I submit products with green certifications?</w:t>
      </w:r>
    </w:p>
    <w:p w14:paraId="3B53F7C3" w14:textId="77777777" w:rsidR="004E645E" w:rsidRPr="004E645E" w:rsidRDefault="004E645E" w:rsidP="004E645E">
      <w:pPr>
        <w:ind w:left="360"/>
        <w:jc w:val="both"/>
        <w:rPr>
          <w:rFonts w:cs="Arial"/>
        </w:rPr>
      </w:pPr>
      <w:r w:rsidRPr="004E645E">
        <w:rPr>
          <w:rFonts w:cs="Arial"/>
          <w:color w:val="1F497D"/>
        </w:rPr>
        <w:t xml:space="preserve">Please refer to the Enterprise Services </w:t>
      </w:r>
      <w:hyperlink r:id="rId40">
        <w:r w:rsidRPr="004E645E">
          <w:rPr>
            <w:rStyle w:val="Hyperlink"/>
            <w:rFonts w:cs="Arial"/>
          </w:rPr>
          <w:t>environmentally preferred purchasing page</w:t>
        </w:r>
      </w:hyperlink>
      <w:r w:rsidRPr="004E645E">
        <w:rPr>
          <w:rFonts w:cs="Arial"/>
        </w:rPr>
        <w:t xml:space="preserve"> </w:t>
      </w:r>
      <w:r w:rsidRPr="004E645E">
        <w:rPr>
          <w:rFonts w:cs="Arial"/>
          <w:color w:val="1F497D"/>
        </w:rPr>
        <w:t>for more information.</w:t>
      </w:r>
    </w:p>
    <w:p w14:paraId="3BD19417" w14:textId="6F2993B7" w:rsidR="005C1F0E" w:rsidRDefault="005C1F0E" w:rsidP="005C1F0E">
      <w:pPr>
        <w:ind w:left="360"/>
        <w:jc w:val="both"/>
        <w:rPr>
          <w:rFonts w:cs="Arial"/>
        </w:rPr>
      </w:pPr>
    </w:p>
    <w:sectPr w:rsidR="005C1F0E" w:rsidSect="00114333">
      <w:footerReference w:type="default" r:id="rId41"/>
      <w:headerReference w:type="first" r:id="rId42"/>
      <w:footerReference w:type="first" r:id="rId43"/>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CCA5" w14:textId="77777777" w:rsidR="00296B0E" w:rsidRDefault="00296B0E" w:rsidP="0030407E">
      <w:r>
        <w:separator/>
      </w:r>
    </w:p>
  </w:endnote>
  <w:endnote w:type="continuationSeparator" w:id="0">
    <w:p w14:paraId="7340B9D6" w14:textId="77777777" w:rsidR="00296B0E" w:rsidRDefault="00296B0E" w:rsidP="0030407E">
      <w:r>
        <w:continuationSeparator/>
      </w:r>
    </w:p>
  </w:endnote>
  <w:endnote w:type="continuationNotice" w:id="1">
    <w:p w14:paraId="79797847" w14:textId="77777777" w:rsidR="00296B0E" w:rsidRDefault="0029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3EC62AD" w:rsidR="002D44CF" w:rsidRPr="0074484A" w:rsidRDefault="00C637C0" w:rsidP="0030407E">
    <w:pPr>
      <w:pStyle w:val="Footer"/>
      <w:rPr>
        <w:sz w:val="20"/>
      </w:rPr>
    </w:pPr>
    <w:r>
      <w:rPr>
        <w:sz w:val="20"/>
      </w:rPr>
      <w:t xml:space="preserve">01124 - Relocated Building Solutions (Sourcewell) </w:t>
    </w:r>
    <w:r w:rsidRPr="005C1D77">
      <w:rPr>
        <w:b/>
        <w:bCs/>
        <w:sz w:val="20"/>
      </w:rPr>
      <w:t>FAQ</w:t>
    </w:r>
    <w:r>
      <w:rPr>
        <w:sz w:val="20"/>
      </w:rPr>
      <w:t xml:space="preserve"> </w:t>
    </w:r>
    <w:r>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6338903F" w:rsidR="002D44CF" w:rsidRPr="0074484A" w:rsidRDefault="00A204E9" w:rsidP="00E027B4">
    <w:pPr>
      <w:pStyle w:val="Footer"/>
      <w:rPr>
        <w:sz w:val="20"/>
      </w:rPr>
    </w:pPr>
    <w:r w:rsidRPr="0074484A">
      <w:rPr>
        <w:noProof/>
        <w:color w:val="2B579A"/>
        <w:sz w:val="20"/>
        <w:shd w:val="clear" w:color="auto" w:fill="E6E6E6"/>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43C76"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A9598B">
      <w:rPr>
        <w:sz w:val="20"/>
      </w:rPr>
      <w:t>01124</w:t>
    </w:r>
    <w:r w:rsidR="00255DFB">
      <w:rPr>
        <w:sz w:val="20"/>
      </w:rPr>
      <w:t xml:space="preserve"> - </w:t>
    </w:r>
    <w:r w:rsidR="002B7D97">
      <w:rPr>
        <w:sz w:val="20"/>
      </w:rPr>
      <w:t>Relocated Building Solutions</w:t>
    </w:r>
    <w:r w:rsidR="00A9598B">
      <w:rPr>
        <w:sz w:val="20"/>
      </w:rPr>
      <w:t xml:space="preserve"> (Sourcewell)</w:t>
    </w:r>
    <w:r w:rsidR="00AC20BB">
      <w:rPr>
        <w:sz w:val="20"/>
      </w:rPr>
      <w:t xml:space="preserve"> </w:t>
    </w:r>
    <w:r w:rsidR="00AC20BB" w:rsidRPr="005C1D77">
      <w:rPr>
        <w:b/>
        <w:bCs/>
        <w:sz w:val="20"/>
      </w:rPr>
      <w:t>FAQ</w:t>
    </w:r>
    <w:r w:rsidR="008F62B9">
      <w:rPr>
        <w:sz w:val="20"/>
      </w:rPr>
      <w:t xml:space="preserve"> </w:t>
    </w:r>
    <w:r w:rsidR="008F62B9">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C20F" w14:textId="77777777" w:rsidR="00296B0E" w:rsidRDefault="00296B0E" w:rsidP="0030407E">
      <w:r>
        <w:separator/>
      </w:r>
    </w:p>
  </w:footnote>
  <w:footnote w:type="continuationSeparator" w:id="0">
    <w:p w14:paraId="72C252A8" w14:textId="77777777" w:rsidR="00296B0E" w:rsidRDefault="00296B0E" w:rsidP="0030407E">
      <w:r>
        <w:continuationSeparator/>
      </w:r>
    </w:p>
  </w:footnote>
  <w:footnote w:type="continuationNotice" w:id="1">
    <w:p w14:paraId="5F406741" w14:textId="77777777" w:rsidR="00296B0E" w:rsidRDefault="00296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371F6"/>
    <w:multiLevelType w:val="multilevel"/>
    <w:tmpl w:val="CF5A2986"/>
    <w:lvl w:ilvl="0">
      <w:start w:val="8"/>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lowerLetter"/>
      <w:lvlText w:val="(%3)"/>
      <w:lvlJc w:val="left"/>
      <w:pPr>
        <w:ind w:left="1800" w:hanging="360"/>
      </w:pPr>
      <w:rPr>
        <w:rFonts w:asciiTheme="minorHAnsi" w:eastAsiaTheme="minorHAnsi" w:hAnsiTheme="minorHAnsi" w:cstheme="minorBidi" w:hint="default"/>
      </w:rPr>
    </w:lvl>
    <w:lvl w:ilvl="3">
      <w:start w:val="1"/>
      <w:numFmt w:val="decimal"/>
      <w:lvlText w:val="%1.%2.%3.%4"/>
      <w:lvlJc w:val="left"/>
      <w:pPr>
        <w:ind w:left="1800" w:hanging="720"/>
      </w:pPr>
      <w:rPr>
        <w:rFonts w:hint="default"/>
      </w:rPr>
    </w:lvl>
    <w:lvl w:ilvl="4">
      <w:start w:val="1"/>
      <w:numFmt w:val="lowerLetter"/>
      <w:lvlText w:val="(%5)"/>
      <w:lvlJc w:val="left"/>
      <w:pPr>
        <w:ind w:left="1800" w:hanging="360"/>
      </w:pPr>
      <w:rPr>
        <w:rFonts w:asciiTheme="minorHAnsi" w:eastAsiaTheme="minorHAnsi" w:hAnsiTheme="minorHAnsi" w:cstheme="minorBidi"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01CE9"/>
    <w:multiLevelType w:val="hybridMultilevel"/>
    <w:tmpl w:val="9204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B6245"/>
    <w:multiLevelType w:val="hybridMultilevel"/>
    <w:tmpl w:val="E690D172"/>
    <w:lvl w:ilvl="0" w:tplc="83782D00">
      <w:start w:val="1"/>
      <w:numFmt w:val="decimal"/>
      <w:lvlText w:val="%1."/>
      <w:lvlJc w:val="left"/>
      <w:pPr>
        <w:ind w:left="720" w:hanging="360"/>
      </w:pPr>
      <w:rPr>
        <w:rFonts w:cstheme="maj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E9B"/>
    <w:multiLevelType w:val="multilevel"/>
    <w:tmpl w:val="0BCE42B8"/>
    <w:lvl w:ilvl="0">
      <w:start w:val="9"/>
      <w:numFmt w:val="decimal"/>
      <w:lvlText w:val="%1."/>
      <w:lvlJc w:val="left"/>
      <w:pPr>
        <w:ind w:left="360" w:hanging="360"/>
      </w:pPr>
      <w:rPr>
        <w:rFonts w:hint="default"/>
        <w:b/>
        <w:color w:val="auto"/>
        <w:sz w:val="22"/>
      </w:rPr>
    </w:lvl>
    <w:lvl w:ilvl="1">
      <w:start w:val="1"/>
      <w:numFmt w:val="decimal"/>
      <w:lvlText w:val="%1.%2."/>
      <w:lvlJc w:val="left"/>
      <w:pPr>
        <w:ind w:left="1872" w:hanging="432"/>
      </w:pPr>
      <w:rPr>
        <w:rFonts w:hint="default"/>
        <w:sz w:val="22"/>
        <w:szCs w:val="22"/>
      </w:rPr>
    </w:lvl>
    <w:lvl w:ilvl="2">
      <w:start w:val="1"/>
      <w:numFmt w:val="lowerLetter"/>
      <w:lvlText w:val="%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right"/>
      <w:pPr>
        <w:ind w:left="2232" w:hanging="792"/>
      </w:pPr>
      <w:rPr>
        <w:rFonts w:hint="default"/>
        <w:sz w:val="22"/>
        <w:szCs w:val="22"/>
      </w:rPr>
    </w:lvl>
    <w:lvl w:ilvl="5">
      <w:start w:val="1"/>
      <w:numFmt w:val="lowerRoman"/>
      <w:lvlText w:val="%6."/>
      <w:lvlJc w:val="righ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F12F16"/>
    <w:multiLevelType w:val="hybridMultilevel"/>
    <w:tmpl w:val="42807BA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1D5F0020"/>
    <w:multiLevelType w:val="hybridMultilevel"/>
    <w:tmpl w:val="C922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4F2EE5"/>
    <w:multiLevelType w:val="multilevel"/>
    <w:tmpl w:val="DD520D04"/>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right"/>
      <w:pPr>
        <w:ind w:left="1800" w:hanging="720"/>
      </w:pPr>
      <w:rPr>
        <w:rFonts w:asciiTheme="minorHAnsi" w:eastAsiaTheme="minorHAnsi" w:hAnsiTheme="minorHAnsi" w:cstheme="minorBidi"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D173EF"/>
    <w:multiLevelType w:val="multilevel"/>
    <w:tmpl w:val="BDF885DA"/>
    <w:lvl w:ilvl="0">
      <w:start w:val="1"/>
      <w:numFmt w:val="decimal"/>
      <w:lvlText w:val="%1."/>
      <w:lvlJc w:val="left"/>
      <w:pPr>
        <w:ind w:left="1080" w:hanging="360"/>
      </w:pPr>
    </w:lvl>
    <w:lvl w:ilvl="1">
      <w:start w:val="1"/>
      <w:numFmt w:val="decimal"/>
      <w:lvlText w:val="2.%2."/>
      <w:lvlJc w:val="left"/>
      <w:pPr>
        <w:ind w:left="1800" w:hanging="360"/>
      </w:pPr>
      <w:rPr>
        <w:rFonts w:asciiTheme="minorHAnsi" w:hAnsiTheme="minorHAnsi" w:cstheme="minorHAnsi" w:hint="default"/>
        <w:b/>
        <w:bC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BE65471"/>
    <w:multiLevelType w:val="hybridMultilevel"/>
    <w:tmpl w:val="6486B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76197"/>
    <w:multiLevelType w:val="hybridMultilevel"/>
    <w:tmpl w:val="572A7152"/>
    <w:lvl w:ilvl="0" w:tplc="1C180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24724"/>
    <w:multiLevelType w:val="hybridMultilevel"/>
    <w:tmpl w:val="0426647C"/>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A265C8"/>
    <w:multiLevelType w:val="multilevel"/>
    <w:tmpl w:val="05563170"/>
    <w:lvl w:ilvl="0">
      <w:start w:val="17"/>
      <w:numFmt w:val="decimal"/>
      <w:lvlText w:val="%1"/>
      <w:lvlJc w:val="left"/>
      <w:pPr>
        <w:ind w:left="384" w:hanging="384"/>
      </w:pPr>
      <w:rPr>
        <w:rFonts w:hint="default"/>
      </w:rPr>
    </w:lvl>
    <w:lvl w:ilvl="1">
      <w:start w:val="2"/>
      <w:numFmt w:val="decimal"/>
      <w:lvlText w:val="%1.%2"/>
      <w:lvlJc w:val="left"/>
      <w:pPr>
        <w:ind w:left="744" w:hanging="384"/>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D2AA1"/>
    <w:multiLevelType w:val="hybridMultilevel"/>
    <w:tmpl w:val="1FA679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C4AA1"/>
    <w:multiLevelType w:val="hybridMultilevel"/>
    <w:tmpl w:val="76867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7A02A0"/>
    <w:multiLevelType w:val="hybridMultilevel"/>
    <w:tmpl w:val="C7943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932F0"/>
    <w:multiLevelType w:val="hybridMultilevel"/>
    <w:tmpl w:val="D2967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C72EC8"/>
    <w:multiLevelType w:val="hybridMultilevel"/>
    <w:tmpl w:val="B60A261E"/>
    <w:lvl w:ilvl="0" w:tplc="ABB24F9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51889"/>
    <w:multiLevelType w:val="multilevel"/>
    <w:tmpl w:val="BDF885DA"/>
    <w:lvl w:ilvl="0">
      <w:start w:val="1"/>
      <w:numFmt w:val="decimal"/>
      <w:lvlText w:val="%1."/>
      <w:lvlJc w:val="left"/>
      <w:pPr>
        <w:ind w:left="720" w:hanging="360"/>
      </w:pPr>
    </w:lvl>
    <w:lvl w:ilvl="1">
      <w:start w:val="1"/>
      <w:numFmt w:val="decimal"/>
      <w:lvlText w:val="2.%2."/>
      <w:lvlJc w:val="left"/>
      <w:pPr>
        <w:ind w:left="1440" w:hanging="360"/>
      </w:pPr>
      <w:rPr>
        <w:rFonts w:asciiTheme="minorHAnsi" w:hAnsiTheme="minorHAnsi" w:cstheme="minorHAnsi"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646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AC7287"/>
    <w:multiLevelType w:val="multilevel"/>
    <w:tmpl w:val="07E673E4"/>
    <w:lvl w:ilvl="0">
      <w:start w:val="16"/>
      <w:numFmt w:val="decimal"/>
      <w:lvlText w:val="%1"/>
      <w:lvlJc w:val="left"/>
      <w:pPr>
        <w:ind w:left="384" w:hanging="384"/>
      </w:pPr>
      <w:rPr>
        <w:rFonts w:hint="default"/>
        <w:b/>
        <w:i/>
      </w:rPr>
    </w:lvl>
    <w:lvl w:ilvl="1">
      <w:start w:val="4"/>
      <w:numFmt w:val="decimal"/>
      <w:lvlText w:val="%1.%2"/>
      <w:lvlJc w:val="left"/>
      <w:pPr>
        <w:ind w:left="744" w:hanging="384"/>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25" w15:restartNumberingAfterBreak="0">
    <w:nsid w:val="7666687D"/>
    <w:multiLevelType w:val="hybridMultilevel"/>
    <w:tmpl w:val="1C28B418"/>
    <w:lvl w:ilvl="0" w:tplc="92541C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77D3198A"/>
    <w:multiLevelType w:val="hybridMultilevel"/>
    <w:tmpl w:val="C80884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714036218">
    <w:abstractNumId w:val="3"/>
  </w:num>
  <w:num w:numId="2" w16cid:durableId="532886175">
    <w:abstractNumId w:val="19"/>
  </w:num>
  <w:num w:numId="3" w16cid:durableId="259022858">
    <w:abstractNumId w:val="13"/>
  </w:num>
  <w:num w:numId="4" w16cid:durableId="1356734407">
    <w:abstractNumId w:val="21"/>
  </w:num>
  <w:num w:numId="5" w16cid:durableId="2050102135">
    <w:abstractNumId w:val="8"/>
  </w:num>
  <w:num w:numId="6" w16cid:durableId="1513448576">
    <w:abstractNumId w:val="0"/>
  </w:num>
  <w:num w:numId="7" w16cid:durableId="1615669426">
    <w:abstractNumId w:val="22"/>
  </w:num>
  <w:num w:numId="8" w16cid:durableId="1358656239">
    <w:abstractNumId w:val="26"/>
  </w:num>
  <w:num w:numId="9" w16cid:durableId="1495678361">
    <w:abstractNumId w:val="25"/>
  </w:num>
  <w:num w:numId="10" w16cid:durableId="2057774063">
    <w:abstractNumId w:val="15"/>
  </w:num>
  <w:num w:numId="11" w16cid:durableId="473454654">
    <w:abstractNumId w:val="2"/>
  </w:num>
  <w:num w:numId="12" w16cid:durableId="204022512">
    <w:abstractNumId w:val="4"/>
  </w:num>
  <w:num w:numId="13" w16cid:durableId="537012771">
    <w:abstractNumId w:val="20"/>
    <w:lvlOverride w:ilvl="0">
      <w:lvl w:ilvl="0">
        <w:start w:val="1"/>
        <w:numFmt w:val="decimal"/>
        <w:lvlText w:val="%1."/>
        <w:lvlJc w:val="left"/>
        <w:pPr>
          <w:ind w:left="720" w:hanging="360"/>
        </w:pPr>
      </w:lvl>
    </w:lvlOverride>
    <w:lvlOverride w:ilvl="1">
      <w:lvl w:ilvl="1">
        <w:start w:val="1"/>
        <w:numFmt w:val="decimal"/>
        <w:lvlText w:val="7.%2."/>
        <w:lvlJc w:val="left"/>
        <w:pPr>
          <w:ind w:left="1440" w:hanging="360"/>
        </w:pPr>
        <w:rPr>
          <w:rFonts w:asciiTheme="minorHAnsi" w:hAnsiTheme="minorHAnsi" w:cstheme="minorHAnsi" w:hint="default"/>
          <w:b/>
          <w:bCs/>
        </w:rPr>
      </w:lvl>
    </w:lvlOverride>
    <w:lvlOverride w:ilvl="2">
      <w:lvl w:ilvl="2">
        <w:start w:val="1"/>
        <w:numFmt w:val="decimal"/>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4" w16cid:durableId="1358773954">
    <w:abstractNumId w:val="5"/>
  </w:num>
  <w:num w:numId="15" w16cid:durableId="1139496638">
    <w:abstractNumId w:val="14"/>
  </w:num>
  <w:num w:numId="16" w16cid:durableId="1185248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088515">
    <w:abstractNumId w:val="9"/>
  </w:num>
  <w:num w:numId="18" w16cid:durableId="1435664095">
    <w:abstractNumId w:val="7"/>
  </w:num>
  <w:num w:numId="19" w16cid:durableId="988749563">
    <w:abstractNumId w:val="24"/>
  </w:num>
  <w:num w:numId="20" w16cid:durableId="1696735735">
    <w:abstractNumId w:val="23"/>
  </w:num>
  <w:num w:numId="21" w16cid:durableId="1658916669">
    <w:abstractNumId w:val="18"/>
  </w:num>
  <w:num w:numId="22" w16cid:durableId="2001107280">
    <w:abstractNumId w:val="1"/>
  </w:num>
  <w:num w:numId="23" w16cid:durableId="1525483877">
    <w:abstractNumId w:val="12"/>
  </w:num>
  <w:num w:numId="24" w16cid:durableId="1268276801">
    <w:abstractNumId w:val="17"/>
  </w:num>
  <w:num w:numId="25" w16cid:durableId="1251744009">
    <w:abstractNumId w:val="6"/>
  </w:num>
  <w:num w:numId="26" w16cid:durableId="1619684410">
    <w:abstractNumId w:val="16"/>
  </w:num>
  <w:num w:numId="27" w16cid:durableId="1410884945">
    <w:abstractNumId w:val="11"/>
  </w:num>
  <w:num w:numId="28" w16cid:durableId="104983672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0172"/>
    <w:rsid w:val="0000155B"/>
    <w:rsid w:val="00001680"/>
    <w:rsid w:val="000034E5"/>
    <w:rsid w:val="00004353"/>
    <w:rsid w:val="00005A8A"/>
    <w:rsid w:val="00006CB0"/>
    <w:rsid w:val="00011379"/>
    <w:rsid w:val="00012DCA"/>
    <w:rsid w:val="0001320B"/>
    <w:rsid w:val="00013566"/>
    <w:rsid w:val="0002341B"/>
    <w:rsid w:val="00025C39"/>
    <w:rsid w:val="000274A3"/>
    <w:rsid w:val="00027938"/>
    <w:rsid w:val="00030894"/>
    <w:rsid w:val="00033DAF"/>
    <w:rsid w:val="00040082"/>
    <w:rsid w:val="00042FBC"/>
    <w:rsid w:val="000432B9"/>
    <w:rsid w:val="00044F7B"/>
    <w:rsid w:val="000453C3"/>
    <w:rsid w:val="00045550"/>
    <w:rsid w:val="00046FC8"/>
    <w:rsid w:val="0004728C"/>
    <w:rsid w:val="00051D3E"/>
    <w:rsid w:val="00055C7F"/>
    <w:rsid w:val="0006023B"/>
    <w:rsid w:val="00060601"/>
    <w:rsid w:val="000611DC"/>
    <w:rsid w:val="000616B4"/>
    <w:rsid w:val="00062987"/>
    <w:rsid w:val="000642F1"/>
    <w:rsid w:val="00066777"/>
    <w:rsid w:val="00070083"/>
    <w:rsid w:val="000708E8"/>
    <w:rsid w:val="000712FF"/>
    <w:rsid w:val="00071B4C"/>
    <w:rsid w:val="00073B5E"/>
    <w:rsid w:val="00074E24"/>
    <w:rsid w:val="00076119"/>
    <w:rsid w:val="00076668"/>
    <w:rsid w:val="000776A2"/>
    <w:rsid w:val="00080912"/>
    <w:rsid w:val="000826A8"/>
    <w:rsid w:val="00082E1E"/>
    <w:rsid w:val="00083B91"/>
    <w:rsid w:val="000842A8"/>
    <w:rsid w:val="0008480F"/>
    <w:rsid w:val="00086ED7"/>
    <w:rsid w:val="000921D0"/>
    <w:rsid w:val="0009276D"/>
    <w:rsid w:val="00092A12"/>
    <w:rsid w:val="00092C9A"/>
    <w:rsid w:val="00095C0A"/>
    <w:rsid w:val="000A103C"/>
    <w:rsid w:val="000A46FF"/>
    <w:rsid w:val="000A5DEF"/>
    <w:rsid w:val="000A6B27"/>
    <w:rsid w:val="000B3750"/>
    <w:rsid w:val="000B45A9"/>
    <w:rsid w:val="000B60DC"/>
    <w:rsid w:val="000C0287"/>
    <w:rsid w:val="000C0D20"/>
    <w:rsid w:val="000C1F42"/>
    <w:rsid w:val="000C39BD"/>
    <w:rsid w:val="000C3DDF"/>
    <w:rsid w:val="000C6E36"/>
    <w:rsid w:val="000D0E99"/>
    <w:rsid w:val="000D1729"/>
    <w:rsid w:val="000D680D"/>
    <w:rsid w:val="000E1576"/>
    <w:rsid w:val="000E2AE1"/>
    <w:rsid w:val="000E4E7B"/>
    <w:rsid w:val="000F1321"/>
    <w:rsid w:val="000F53C5"/>
    <w:rsid w:val="00102639"/>
    <w:rsid w:val="00103658"/>
    <w:rsid w:val="00104E23"/>
    <w:rsid w:val="001074E5"/>
    <w:rsid w:val="0010761E"/>
    <w:rsid w:val="001078C1"/>
    <w:rsid w:val="001103C2"/>
    <w:rsid w:val="00113349"/>
    <w:rsid w:val="00114333"/>
    <w:rsid w:val="001153CA"/>
    <w:rsid w:val="00116CEC"/>
    <w:rsid w:val="00116D55"/>
    <w:rsid w:val="00120AFE"/>
    <w:rsid w:val="00122EB7"/>
    <w:rsid w:val="00126098"/>
    <w:rsid w:val="00126875"/>
    <w:rsid w:val="00130909"/>
    <w:rsid w:val="0013107C"/>
    <w:rsid w:val="00132695"/>
    <w:rsid w:val="00132A51"/>
    <w:rsid w:val="001368D8"/>
    <w:rsid w:val="00137B2A"/>
    <w:rsid w:val="00137DA4"/>
    <w:rsid w:val="00144F7C"/>
    <w:rsid w:val="001477A8"/>
    <w:rsid w:val="00150B24"/>
    <w:rsid w:val="001517EB"/>
    <w:rsid w:val="0015336F"/>
    <w:rsid w:val="0016150B"/>
    <w:rsid w:val="00161B5A"/>
    <w:rsid w:val="00165579"/>
    <w:rsid w:val="00165A9F"/>
    <w:rsid w:val="00165F84"/>
    <w:rsid w:val="001742AE"/>
    <w:rsid w:val="00175A99"/>
    <w:rsid w:val="00176C33"/>
    <w:rsid w:val="00176D69"/>
    <w:rsid w:val="0017780A"/>
    <w:rsid w:val="00181DC1"/>
    <w:rsid w:val="00182860"/>
    <w:rsid w:val="0018734A"/>
    <w:rsid w:val="00190890"/>
    <w:rsid w:val="001924C4"/>
    <w:rsid w:val="00193BF4"/>
    <w:rsid w:val="00195027"/>
    <w:rsid w:val="001A1364"/>
    <w:rsid w:val="001A1A61"/>
    <w:rsid w:val="001A34F0"/>
    <w:rsid w:val="001A44C2"/>
    <w:rsid w:val="001A5CED"/>
    <w:rsid w:val="001A78C7"/>
    <w:rsid w:val="001B3827"/>
    <w:rsid w:val="001B4373"/>
    <w:rsid w:val="001B60F6"/>
    <w:rsid w:val="001B70C7"/>
    <w:rsid w:val="001B7213"/>
    <w:rsid w:val="001C2F4D"/>
    <w:rsid w:val="001C44A1"/>
    <w:rsid w:val="001D06F4"/>
    <w:rsid w:val="001D220F"/>
    <w:rsid w:val="001D2A16"/>
    <w:rsid w:val="001D601E"/>
    <w:rsid w:val="001E031F"/>
    <w:rsid w:val="001E0AA4"/>
    <w:rsid w:val="001E4E66"/>
    <w:rsid w:val="001E674D"/>
    <w:rsid w:val="001E6F5A"/>
    <w:rsid w:val="001F020F"/>
    <w:rsid w:val="001F5A77"/>
    <w:rsid w:val="001F6C43"/>
    <w:rsid w:val="001F7612"/>
    <w:rsid w:val="0020152A"/>
    <w:rsid w:val="00202515"/>
    <w:rsid w:val="0020385D"/>
    <w:rsid w:val="00205398"/>
    <w:rsid w:val="0020592E"/>
    <w:rsid w:val="00206AEB"/>
    <w:rsid w:val="00207A40"/>
    <w:rsid w:val="0021176E"/>
    <w:rsid w:val="00212B28"/>
    <w:rsid w:val="00213A98"/>
    <w:rsid w:val="002144A3"/>
    <w:rsid w:val="00215625"/>
    <w:rsid w:val="0021647A"/>
    <w:rsid w:val="00220B84"/>
    <w:rsid w:val="00230BE1"/>
    <w:rsid w:val="00232833"/>
    <w:rsid w:val="00233EAC"/>
    <w:rsid w:val="002355F5"/>
    <w:rsid w:val="0024396B"/>
    <w:rsid w:val="00246118"/>
    <w:rsid w:val="00246275"/>
    <w:rsid w:val="00246486"/>
    <w:rsid w:val="002470ED"/>
    <w:rsid w:val="00252AEB"/>
    <w:rsid w:val="00254D22"/>
    <w:rsid w:val="00255DFB"/>
    <w:rsid w:val="0025692A"/>
    <w:rsid w:val="002569FE"/>
    <w:rsid w:val="002577A1"/>
    <w:rsid w:val="00264684"/>
    <w:rsid w:val="00267A8B"/>
    <w:rsid w:val="0027215D"/>
    <w:rsid w:val="0027231B"/>
    <w:rsid w:val="0027368C"/>
    <w:rsid w:val="00276D4C"/>
    <w:rsid w:val="00284C05"/>
    <w:rsid w:val="00284E62"/>
    <w:rsid w:val="0028620C"/>
    <w:rsid w:val="002923DE"/>
    <w:rsid w:val="00296B0E"/>
    <w:rsid w:val="002A0E7A"/>
    <w:rsid w:val="002A1832"/>
    <w:rsid w:val="002A2168"/>
    <w:rsid w:val="002A27A1"/>
    <w:rsid w:val="002A3477"/>
    <w:rsid w:val="002A4447"/>
    <w:rsid w:val="002A759C"/>
    <w:rsid w:val="002B00D4"/>
    <w:rsid w:val="002B13CF"/>
    <w:rsid w:val="002B1724"/>
    <w:rsid w:val="002B190E"/>
    <w:rsid w:val="002B50E1"/>
    <w:rsid w:val="002B6CCD"/>
    <w:rsid w:val="002B7D97"/>
    <w:rsid w:val="002C38A8"/>
    <w:rsid w:val="002C52D3"/>
    <w:rsid w:val="002C5B4E"/>
    <w:rsid w:val="002C60DF"/>
    <w:rsid w:val="002C6224"/>
    <w:rsid w:val="002C6FB2"/>
    <w:rsid w:val="002D1386"/>
    <w:rsid w:val="002D20B3"/>
    <w:rsid w:val="002D3B68"/>
    <w:rsid w:val="002D44CF"/>
    <w:rsid w:val="002D490E"/>
    <w:rsid w:val="002D62C6"/>
    <w:rsid w:val="002E452C"/>
    <w:rsid w:val="002E4D56"/>
    <w:rsid w:val="002F01CD"/>
    <w:rsid w:val="002F2DFC"/>
    <w:rsid w:val="002F6803"/>
    <w:rsid w:val="002F6929"/>
    <w:rsid w:val="0030247C"/>
    <w:rsid w:val="0030407E"/>
    <w:rsid w:val="003046E4"/>
    <w:rsid w:val="00305033"/>
    <w:rsid w:val="00306D93"/>
    <w:rsid w:val="00307008"/>
    <w:rsid w:val="003114DC"/>
    <w:rsid w:val="003122C3"/>
    <w:rsid w:val="00313B98"/>
    <w:rsid w:val="0031435C"/>
    <w:rsid w:val="00315631"/>
    <w:rsid w:val="0031696F"/>
    <w:rsid w:val="00316987"/>
    <w:rsid w:val="00322640"/>
    <w:rsid w:val="00322731"/>
    <w:rsid w:val="003258A8"/>
    <w:rsid w:val="00326387"/>
    <w:rsid w:val="00332798"/>
    <w:rsid w:val="00332BD9"/>
    <w:rsid w:val="00336745"/>
    <w:rsid w:val="003370E5"/>
    <w:rsid w:val="0033798A"/>
    <w:rsid w:val="00337F30"/>
    <w:rsid w:val="0034387E"/>
    <w:rsid w:val="00343D0F"/>
    <w:rsid w:val="00345886"/>
    <w:rsid w:val="00346250"/>
    <w:rsid w:val="00351602"/>
    <w:rsid w:val="003520C7"/>
    <w:rsid w:val="00353A3C"/>
    <w:rsid w:val="0036299D"/>
    <w:rsid w:val="00363892"/>
    <w:rsid w:val="00365AD9"/>
    <w:rsid w:val="00370C53"/>
    <w:rsid w:val="00374808"/>
    <w:rsid w:val="00374865"/>
    <w:rsid w:val="00380899"/>
    <w:rsid w:val="003816B1"/>
    <w:rsid w:val="00385985"/>
    <w:rsid w:val="00392460"/>
    <w:rsid w:val="00393AC3"/>
    <w:rsid w:val="00394531"/>
    <w:rsid w:val="003A1E56"/>
    <w:rsid w:val="003A3EFC"/>
    <w:rsid w:val="003A5EC8"/>
    <w:rsid w:val="003A60D9"/>
    <w:rsid w:val="003A7D41"/>
    <w:rsid w:val="003A7EC4"/>
    <w:rsid w:val="003B1EAA"/>
    <w:rsid w:val="003B778D"/>
    <w:rsid w:val="003C089A"/>
    <w:rsid w:val="003C104F"/>
    <w:rsid w:val="003C2638"/>
    <w:rsid w:val="003C692F"/>
    <w:rsid w:val="003D0323"/>
    <w:rsid w:val="003D2E29"/>
    <w:rsid w:val="003D39F4"/>
    <w:rsid w:val="003D3D34"/>
    <w:rsid w:val="003D4E25"/>
    <w:rsid w:val="003D7E6B"/>
    <w:rsid w:val="003E00EC"/>
    <w:rsid w:val="003E135D"/>
    <w:rsid w:val="003E4600"/>
    <w:rsid w:val="003E4661"/>
    <w:rsid w:val="003E4A51"/>
    <w:rsid w:val="003E4E1C"/>
    <w:rsid w:val="003F49D5"/>
    <w:rsid w:val="003F5FF5"/>
    <w:rsid w:val="0040066B"/>
    <w:rsid w:val="00400D67"/>
    <w:rsid w:val="00412318"/>
    <w:rsid w:val="00412DA9"/>
    <w:rsid w:val="0041429B"/>
    <w:rsid w:val="00415BB4"/>
    <w:rsid w:val="0041688F"/>
    <w:rsid w:val="00417C4D"/>
    <w:rsid w:val="00423094"/>
    <w:rsid w:val="004274E6"/>
    <w:rsid w:val="00431CA6"/>
    <w:rsid w:val="00431ED3"/>
    <w:rsid w:val="00432786"/>
    <w:rsid w:val="00432CAA"/>
    <w:rsid w:val="00433C7B"/>
    <w:rsid w:val="00436D8D"/>
    <w:rsid w:val="0044139A"/>
    <w:rsid w:val="00442BAE"/>
    <w:rsid w:val="00442D1A"/>
    <w:rsid w:val="00444A1F"/>
    <w:rsid w:val="00444B34"/>
    <w:rsid w:val="00445081"/>
    <w:rsid w:val="00445910"/>
    <w:rsid w:val="004476BE"/>
    <w:rsid w:val="00447A8B"/>
    <w:rsid w:val="00447C98"/>
    <w:rsid w:val="00457012"/>
    <w:rsid w:val="00457768"/>
    <w:rsid w:val="00461F95"/>
    <w:rsid w:val="00462FAF"/>
    <w:rsid w:val="00463812"/>
    <w:rsid w:val="00466A41"/>
    <w:rsid w:val="00466AEF"/>
    <w:rsid w:val="004675DB"/>
    <w:rsid w:val="00467C61"/>
    <w:rsid w:val="00472B31"/>
    <w:rsid w:val="00473FAB"/>
    <w:rsid w:val="004744C8"/>
    <w:rsid w:val="00476A5E"/>
    <w:rsid w:val="00476FBB"/>
    <w:rsid w:val="00477D53"/>
    <w:rsid w:val="0048059B"/>
    <w:rsid w:val="00481019"/>
    <w:rsid w:val="0048116F"/>
    <w:rsid w:val="00481B74"/>
    <w:rsid w:val="004834F0"/>
    <w:rsid w:val="004860F2"/>
    <w:rsid w:val="00487E93"/>
    <w:rsid w:val="004906DD"/>
    <w:rsid w:val="00491C49"/>
    <w:rsid w:val="00496A56"/>
    <w:rsid w:val="004976DF"/>
    <w:rsid w:val="004A1E40"/>
    <w:rsid w:val="004A263F"/>
    <w:rsid w:val="004A3B92"/>
    <w:rsid w:val="004A59E4"/>
    <w:rsid w:val="004A613D"/>
    <w:rsid w:val="004B006B"/>
    <w:rsid w:val="004B0716"/>
    <w:rsid w:val="004B07C3"/>
    <w:rsid w:val="004B4F18"/>
    <w:rsid w:val="004B597C"/>
    <w:rsid w:val="004B6416"/>
    <w:rsid w:val="004C26CB"/>
    <w:rsid w:val="004C74DF"/>
    <w:rsid w:val="004D0505"/>
    <w:rsid w:val="004D13F4"/>
    <w:rsid w:val="004D383C"/>
    <w:rsid w:val="004D4FA2"/>
    <w:rsid w:val="004D51BD"/>
    <w:rsid w:val="004E3168"/>
    <w:rsid w:val="004E32C4"/>
    <w:rsid w:val="004E3C3D"/>
    <w:rsid w:val="004E483E"/>
    <w:rsid w:val="004E5D15"/>
    <w:rsid w:val="004E645E"/>
    <w:rsid w:val="004E7DF7"/>
    <w:rsid w:val="004F1118"/>
    <w:rsid w:val="004F20E7"/>
    <w:rsid w:val="004F27B8"/>
    <w:rsid w:val="004F3597"/>
    <w:rsid w:val="004F4CCD"/>
    <w:rsid w:val="004F7445"/>
    <w:rsid w:val="00500499"/>
    <w:rsid w:val="00500948"/>
    <w:rsid w:val="005024D2"/>
    <w:rsid w:val="00504EF3"/>
    <w:rsid w:val="00510A28"/>
    <w:rsid w:val="0051202E"/>
    <w:rsid w:val="00514E61"/>
    <w:rsid w:val="00517E0A"/>
    <w:rsid w:val="005203A8"/>
    <w:rsid w:val="00521A77"/>
    <w:rsid w:val="00522E32"/>
    <w:rsid w:val="005347EE"/>
    <w:rsid w:val="00537672"/>
    <w:rsid w:val="0053773E"/>
    <w:rsid w:val="00540487"/>
    <w:rsid w:val="0054058F"/>
    <w:rsid w:val="00540DD1"/>
    <w:rsid w:val="00540E59"/>
    <w:rsid w:val="00541E9F"/>
    <w:rsid w:val="005431EB"/>
    <w:rsid w:val="00544884"/>
    <w:rsid w:val="0054502B"/>
    <w:rsid w:val="005462CA"/>
    <w:rsid w:val="005478AD"/>
    <w:rsid w:val="00553EC6"/>
    <w:rsid w:val="005542C7"/>
    <w:rsid w:val="00556FAD"/>
    <w:rsid w:val="005601D7"/>
    <w:rsid w:val="00562C76"/>
    <w:rsid w:val="005637C9"/>
    <w:rsid w:val="00563EBD"/>
    <w:rsid w:val="00565748"/>
    <w:rsid w:val="00566639"/>
    <w:rsid w:val="00571541"/>
    <w:rsid w:val="00571DED"/>
    <w:rsid w:val="00573AF9"/>
    <w:rsid w:val="005755A7"/>
    <w:rsid w:val="005818C3"/>
    <w:rsid w:val="005845C1"/>
    <w:rsid w:val="00586F2D"/>
    <w:rsid w:val="005908A0"/>
    <w:rsid w:val="005919F6"/>
    <w:rsid w:val="00592722"/>
    <w:rsid w:val="005944B6"/>
    <w:rsid w:val="00594B0E"/>
    <w:rsid w:val="00594F54"/>
    <w:rsid w:val="005A060E"/>
    <w:rsid w:val="005A1030"/>
    <w:rsid w:val="005A1299"/>
    <w:rsid w:val="005A3E26"/>
    <w:rsid w:val="005A43E0"/>
    <w:rsid w:val="005B1C59"/>
    <w:rsid w:val="005B348D"/>
    <w:rsid w:val="005B39BA"/>
    <w:rsid w:val="005B3B9D"/>
    <w:rsid w:val="005B6944"/>
    <w:rsid w:val="005B7383"/>
    <w:rsid w:val="005C17E9"/>
    <w:rsid w:val="005C1D77"/>
    <w:rsid w:val="005C1F0E"/>
    <w:rsid w:val="005C6BA0"/>
    <w:rsid w:val="005D0747"/>
    <w:rsid w:val="005D0788"/>
    <w:rsid w:val="005D11BC"/>
    <w:rsid w:val="005D145A"/>
    <w:rsid w:val="005D1D69"/>
    <w:rsid w:val="005D1D92"/>
    <w:rsid w:val="005D40ED"/>
    <w:rsid w:val="005D499B"/>
    <w:rsid w:val="005E0FE4"/>
    <w:rsid w:val="005E547E"/>
    <w:rsid w:val="005E6784"/>
    <w:rsid w:val="005E7119"/>
    <w:rsid w:val="005F156C"/>
    <w:rsid w:val="005F2B09"/>
    <w:rsid w:val="005F3CC7"/>
    <w:rsid w:val="005F4066"/>
    <w:rsid w:val="005F5B07"/>
    <w:rsid w:val="005F5FED"/>
    <w:rsid w:val="005F764D"/>
    <w:rsid w:val="00600C32"/>
    <w:rsid w:val="006013B3"/>
    <w:rsid w:val="00606BF3"/>
    <w:rsid w:val="00613E6E"/>
    <w:rsid w:val="00614645"/>
    <w:rsid w:val="006150CF"/>
    <w:rsid w:val="00620B02"/>
    <w:rsid w:val="00622FB3"/>
    <w:rsid w:val="00625668"/>
    <w:rsid w:val="00630CFD"/>
    <w:rsid w:val="006355B8"/>
    <w:rsid w:val="0063566D"/>
    <w:rsid w:val="00635E59"/>
    <w:rsid w:val="00640F5B"/>
    <w:rsid w:val="006452FE"/>
    <w:rsid w:val="00653DC7"/>
    <w:rsid w:val="00655412"/>
    <w:rsid w:val="00656D0B"/>
    <w:rsid w:val="00657C81"/>
    <w:rsid w:val="00660F98"/>
    <w:rsid w:val="0066316A"/>
    <w:rsid w:val="00664D95"/>
    <w:rsid w:val="006658C5"/>
    <w:rsid w:val="00665C1F"/>
    <w:rsid w:val="006664FF"/>
    <w:rsid w:val="00667A27"/>
    <w:rsid w:val="00667F7F"/>
    <w:rsid w:val="00673D38"/>
    <w:rsid w:val="006758CA"/>
    <w:rsid w:val="00676356"/>
    <w:rsid w:val="00677BF6"/>
    <w:rsid w:val="00683BBF"/>
    <w:rsid w:val="0069044E"/>
    <w:rsid w:val="00693255"/>
    <w:rsid w:val="00693893"/>
    <w:rsid w:val="00693E13"/>
    <w:rsid w:val="006A057F"/>
    <w:rsid w:val="006A1559"/>
    <w:rsid w:val="006A5AB2"/>
    <w:rsid w:val="006B1599"/>
    <w:rsid w:val="006B20E3"/>
    <w:rsid w:val="006B3F8E"/>
    <w:rsid w:val="006B5F02"/>
    <w:rsid w:val="006B712B"/>
    <w:rsid w:val="006C185D"/>
    <w:rsid w:val="006C2A4C"/>
    <w:rsid w:val="006C2B57"/>
    <w:rsid w:val="006C4F0B"/>
    <w:rsid w:val="006C6870"/>
    <w:rsid w:val="006D0762"/>
    <w:rsid w:val="006D0D9B"/>
    <w:rsid w:val="006D0F27"/>
    <w:rsid w:val="006D1ECE"/>
    <w:rsid w:val="006D40B2"/>
    <w:rsid w:val="006D44D3"/>
    <w:rsid w:val="006D4694"/>
    <w:rsid w:val="006D5D06"/>
    <w:rsid w:val="006E28C9"/>
    <w:rsid w:val="006E40DB"/>
    <w:rsid w:val="006E5559"/>
    <w:rsid w:val="006E603E"/>
    <w:rsid w:val="006E7EDC"/>
    <w:rsid w:val="006F1301"/>
    <w:rsid w:val="006F5715"/>
    <w:rsid w:val="006F58E7"/>
    <w:rsid w:val="006F6567"/>
    <w:rsid w:val="0070330D"/>
    <w:rsid w:val="0070531B"/>
    <w:rsid w:val="007064CF"/>
    <w:rsid w:val="007066A6"/>
    <w:rsid w:val="00706C65"/>
    <w:rsid w:val="00713641"/>
    <w:rsid w:val="00717F71"/>
    <w:rsid w:val="007227AB"/>
    <w:rsid w:val="00723D96"/>
    <w:rsid w:val="00725C1E"/>
    <w:rsid w:val="00726E71"/>
    <w:rsid w:val="0073112A"/>
    <w:rsid w:val="0073113B"/>
    <w:rsid w:val="007336A3"/>
    <w:rsid w:val="007373D1"/>
    <w:rsid w:val="007412A2"/>
    <w:rsid w:val="0074484A"/>
    <w:rsid w:val="007462AD"/>
    <w:rsid w:val="007469A1"/>
    <w:rsid w:val="00750F0E"/>
    <w:rsid w:val="0075157F"/>
    <w:rsid w:val="00751FF9"/>
    <w:rsid w:val="00753414"/>
    <w:rsid w:val="007552B3"/>
    <w:rsid w:val="007553F9"/>
    <w:rsid w:val="00762773"/>
    <w:rsid w:val="00764D7C"/>
    <w:rsid w:val="0076535B"/>
    <w:rsid w:val="00767E72"/>
    <w:rsid w:val="007709AB"/>
    <w:rsid w:val="00770AC6"/>
    <w:rsid w:val="00774A5C"/>
    <w:rsid w:val="00774B12"/>
    <w:rsid w:val="00776027"/>
    <w:rsid w:val="00776BCF"/>
    <w:rsid w:val="00777D8C"/>
    <w:rsid w:val="007819A4"/>
    <w:rsid w:val="00786D88"/>
    <w:rsid w:val="00790817"/>
    <w:rsid w:val="0079359C"/>
    <w:rsid w:val="007951C5"/>
    <w:rsid w:val="007A4105"/>
    <w:rsid w:val="007B5DDE"/>
    <w:rsid w:val="007C061A"/>
    <w:rsid w:val="007C06CA"/>
    <w:rsid w:val="007C2E92"/>
    <w:rsid w:val="007C5C10"/>
    <w:rsid w:val="007C743C"/>
    <w:rsid w:val="007C7707"/>
    <w:rsid w:val="007D1A57"/>
    <w:rsid w:val="007D297D"/>
    <w:rsid w:val="007D3F24"/>
    <w:rsid w:val="007D5254"/>
    <w:rsid w:val="007D6798"/>
    <w:rsid w:val="007E049C"/>
    <w:rsid w:val="007F5B26"/>
    <w:rsid w:val="007F7E47"/>
    <w:rsid w:val="00803D5D"/>
    <w:rsid w:val="0080526C"/>
    <w:rsid w:val="00805854"/>
    <w:rsid w:val="00806A83"/>
    <w:rsid w:val="00806D30"/>
    <w:rsid w:val="00807F65"/>
    <w:rsid w:val="00810002"/>
    <w:rsid w:val="00810411"/>
    <w:rsid w:val="00810B08"/>
    <w:rsid w:val="008123D5"/>
    <w:rsid w:val="008131E7"/>
    <w:rsid w:val="008137AF"/>
    <w:rsid w:val="00815227"/>
    <w:rsid w:val="00816390"/>
    <w:rsid w:val="00816D70"/>
    <w:rsid w:val="00820919"/>
    <w:rsid w:val="00820BD3"/>
    <w:rsid w:val="00822B83"/>
    <w:rsid w:val="00823D6F"/>
    <w:rsid w:val="00827239"/>
    <w:rsid w:val="00832D22"/>
    <w:rsid w:val="008346CE"/>
    <w:rsid w:val="008348D2"/>
    <w:rsid w:val="00836B9F"/>
    <w:rsid w:val="0084213D"/>
    <w:rsid w:val="00842A8E"/>
    <w:rsid w:val="008455F0"/>
    <w:rsid w:val="00845632"/>
    <w:rsid w:val="00845889"/>
    <w:rsid w:val="0084688A"/>
    <w:rsid w:val="008501F7"/>
    <w:rsid w:val="008546DD"/>
    <w:rsid w:val="00854906"/>
    <w:rsid w:val="0085548F"/>
    <w:rsid w:val="00861A43"/>
    <w:rsid w:val="00863805"/>
    <w:rsid w:val="00864F7A"/>
    <w:rsid w:val="00866091"/>
    <w:rsid w:val="008723D8"/>
    <w:rsid w:val="00872DF8"/>
    <w:rsid w:val="00873FD0"/>
    <w:rsid w:val="00877461"/>
    <w:rsid w:val="008811A0"/>
    <w:rsid w:val="00884294"/>
    <w:rsid w:val="00884E12"/>
    <w:rsid w:val="00884FFA"/>
    <w:rsid w:val="0088589C"/>
    <w:rsid w:val="00885D27"/>
    <w:rsid w:val="00886786"/>
    <w:rsid w:val="0089268B"/>
    <w:rsid w:val="00894381"/>
    <w:rsid w:val="008951B8"/>
    <w:rsid w:val="0089644F"/>
    <w:rsid w:val="00896583"/>
    <w:rsid w:val="008975BA"/>
    <w:rsid w:val="008A0ADC"/>
    <w:rsid w:val="008A1E80"/>
    <w:rsid w:val="008A25EF"/>
    <w:rsid w:val="008A6C79"/>
    <w:rsid w:val="008B0469"/>
    <w:rsid w:val="008B100D"/>
    <w:rsid w:val="008B2167"/>
    <w:rsid w:val="008B232C"/>
    <w:rsid w:val="008B6D02"/>
    <w:rsid w:val="008C15FF"/>
    <w:rsid w:val="008C19B0"/>
    <w:rsid w:val="008C25DC"/>
    <w:rsid w:val="008C419F"/>
    <w:rsid w:val="008C41C6"/>
    <w:rsid w:val="008C7A1E"/>
    <w:rsid w:val="008D03F6"/>
    <w:rsid w:val="008D1CDF"/>
    <w:rsid w:val="008D3B25"/>
    <w:rsid w:val="008D61A9"/>
    <w:rsid w:val="008D61ED"/>
    <w:rsid w:val="008E0225"/>
    <w:rsid w:val="008E083A"/>
    <w:rsid w:val="008E4AE9"/>
    <w:rsid w:val="008E57B9"/>
    <w:rsid w:val="008F05C6"/>
    <w:rsid w:val="008F114D"/>
    <w:rsid w:val="008F20F7"/>
    <w:rsid w:val="008F4093"/>
    <w:rsid w:val="008F43CF"/>
    <w:rsid w:val="008F53BF"/>
    <w:rsid w:val="008F62B9"/>
    <w:rsid w:val="00904DDA"/>
    <w:rsid w:val="0090606D"/>
    <w:rsid w:val="0090621B"/>
    <w:rsid w:val="0091087F"/>
    <w:rsid w:val="00911AE6"/>
    <w:rsid w:val="0091232E"/>
    <w:rsid w:val="0091313F"/>
    <w:rsid w:val="00921B2F"/>
    <w:rsid w:val="00924FC4"/>
    <w:rsid w:val="00926EF6"/>
    <w:rsid w:val="00927E91"/>
    <w:rsid w:val="00930E23"/>
    <w:rsid w:val="009315CD"/>
    <w:rsid w:val="00933B93"/>
    <w:rsid w:val="00933D11"/>
    <w:rsid w:val="00935DEC"/>
    <w:rsid w:val="00937833"/>
    <w:rsid w:val="00940AD0"/>
    <w:rsid w:val="00943106"/>
    <w:rsid w:val="00943A53"/>
    <w:rsid w:val="009454A4"/>
    <w:rsid w:val="0094596E"/>
    <w:rsid w:val="00953208"/>
    <w:rsid w:val="00953292"/>
    <w:rsid w:val="00954AD9"/>
    <w:rsid w:val="00955874"/>
    <w:rsid w:val="0096215A"/>
    <w:rsid w:val="0096220A"/>
    <w:rsid w:val="009642C3"/>
    <w:rsid w:val="00965EBF"/>
    <w:rsid w:val="009714C5"/>
    <w:rsid w:val="00972253"/>
    <w:rsid w:val="00973532"/>
    <w:rsid w:val="00976283"/>
    <w:rsid w:val="0098273F"/>
    <w:rsid w:val="00983D0F"/>
    <w:rsid w:val="0098670B"/>
    <w:rsid w:val="00986C3C"/>
    <w:rsid w:val="00987347"/>
    <w:rsid w:val="00990FDD"/>
    <w:rsid w:val="00991B9C"/>
    <w:rsid w:val="00992548"/>
    <w:rsid w:val="009927F0"/>
    <w:rsid w:val="00994CF2"/>
    <w:rsid w:val="0099572C"/>
    <w:rsid w:val="00997925"/>
    <w:rsid w:val="009A0990"/>
    <w:rsid w:val="009A31E0"/>
    <w:rsid w:val="009A5BFB"/>
    <w:rsid w:val="009A68B1"/>
    <w:rsid w:val="009B075D"/>
    <w:rsid w:val="009B0E07"/>
    <w:rsid w:val="009B220A"/>
    <w:rsid w:val="009B687A"/>
    <w:rsid w:val="009B6CD8"/>
    <w:rsid w:val="009B77B0"/>
    <w:rsid w:val="009C24AC"/>
    <w:rsid w:val="009C51D2"/>
    <w:rsid w:val="009C5A0C"/>
    <w:rsid w:val="009C60FE"/>
    <w:rsid w:val="009C7624"/>
    <w:rsid w:val="009C7BE2"/>
    <w:rsid w:val="009D13A1"/>
    <w:rsid w:val="009D19A4"/>
    <w:rsid w:val="009D1E9A"/>
    <w:rsid w:val="009D3569"/>
    <w:rsid w:val="009E2E9D"/>
    <w:rsid w:val="009E39D2"/>
    <w:rsid w:val="009E3C82"/>
    <w:rsid w:val="009E4623"/>
    <w:rsid w:val="009E53B3"/>
    <w:rsid w:val="009E571A"/>
    <w:rsid w:val="009E7CB8"/>
    <w:rsid w:val="009F267A"/>
    <w:rsid w:val="009F3D0F"/>
    <w:rsid w:val="009F3ED1"/>
    <w:rsid w:val="009F45B0"/>
    <w:rsid w:val="009F4A39"/>
    <w:rsid w:val="009F4DA0"/>
    <w:rsid w:val="009F50D7"/>
    <w:rsid w:val="009F77AB"/>
    <w:rsid w:val="00A05F8E"/>
    <w:rsid w:val="00A0747E"/>
    <w:rsid w:val="00A1262D"/>
    <w:rsid w:val="00A16D96"/>
    <w:rsid w:val="00A204E9"/>
    <w:rsid w:val="00A21D5F"/>
    <w:rsid w:val="00A22441"/>
    <w:rsid w:val="00A258CA"/>
    <w:rsid w:val="00A30BB0"/>
    <w:rsid w:val="00A30DC8"/>
    <w:rsid w:val="00A32150"/>
    <w:rsid w:val="00A3352E"/>
    <w:rsid w:val="00A374B0"/>
    <w:rsid w:val="00A375E7"/>
    <w:rsid w:val="00A412E1"/>
    <w:rsid w:val="00A51639"/>
    <w:rsid w:val="00A52132"/>
    <w:rsid w:val="00A52151"/>
    <w:rsid w:val="00A5333D"/>
    <w:rsid w:val="00A56010"/>
    <w:rsid w:val="00A56D38"/>
    <w:rsid w:val="00A61EF3"/>
    <w:rsid w:val="00A62249"/>
    <w:rsid w:val="00A62549"/>
    <w:rsid w:val="00A636ED"/>
    <w:rsid w:val="00A64001"/>
    <w:rsid w:val="00A66C86"/>
    <w:rsid w:val="00A673C9"/>
    <w:rsid w:val="00A73563"/>
    <w:rsid w:val="00A8040C"/>
    <w:rsid w:val="00A81F8F"/>
    <w:rsid w:val="00A838FF"/>
    <w:rsid w:val="00A83A5B"/>
    <w:rsid w:val="00A8630E"/>
    <w:rsid w:val="00A912E8"/>
    <w:rsid w:val="00A91A33"/>
    <w:rsid w:val="00A92A7E"/>
    <w:rsid w:val="00A92C9D"/>
    <w:rsid w:val="00A9518F"/>
    <w:rsid w:val="00A9598B"/>
    <w:rsid w:val="00AA2021"/>
    <w:rsid w:val="00AA592C"/>
    <w:rsid w:val="00AB177B"/>
    <w:rsid w:val="00AB3B0A"/>
    <w:rsid w:val="00AB707B"/>
    <w:rsid w:val="00AB7C89"/>
    <w:rsid w:val="00AC03D8"/>
    <w:rsid w:val="00AC20BB"/>
    <w:rsid w:val="00AC21A2"/>
    <w:rsid w:val="00AC22B7"/>
    <w:rsid w:val="00AC493F"/>
    <w:rsid w:val="00AC5E81"/>
    <w:rsid w:val="00AC6634"/>
    <w:rsid w:val="00AC6C5B"/>
    <w:rsid w:val="00AC75A9"/>
    <w:rsid w:val="00AC7EA4"/>
    <w:rsid w:val="00AD1B4E"/>
    <w:rsid w:val="00AD3B4A"/>
    <w:rsid w:val="00AD7621"/>
    <w:rsid w:val="00AE70D1"/>
    <w:rsid w:val="00AF671C"/>
    <w:rsid w:val="00B00CFC"/>
    <w:rsid w:val="00B01954"/>
    <w:rsid w:val="00B05CA9"/>
    <w:rsid w:val="00B10023"/>
    <w:rsid w:val="00B165B3"/>
    <w:rsid w:val="00B1693D"/>
    <w:rsid w:val="00B22F3E"/>
    <w:rsid w:val="00B23E37"/>
    <w:rsid w:val="00B23F72"/>
    <w:rsid w:val="00B24269"/>
    <w:rsid w:val="00B25205"/>
    <w:rsid w:val="00B27974"/>
    <w:rsid w:val="00B30D69"/>
    <w:rsid w:val="00B30E6A"/>
    <w:rsid w:val="00B32821"/>
    <w:rsid w:val="00B32A28"/>
    <w:rsid w:val="00B3503A"/>
    <w:rsid w:val="00B408B9"/>
    <w:rsid w:val="00B40F97"/>
    <w:rsid w:val="00B445FE"/>
    <w:rsid w:val="00B4620E"/>
    <w:rsid w:val="00B51E1E"/>
    <w:rsid w:val="00B549D3"/>
    <w:rsid w:val="00B60604"/>
    <w:rsid w:val="00B6247D"/>
    <w:rsid w:val="00B64030"/>
    <w:rsid w:val="00B64864"/>
    <w:rsid w:val="00B651FF"/>
    <w:rsid w:val="00B663AD"/>
    <w:rsid w:val="00B6644C"/>
    <w:rsid w:val="00B6685D"/>
    <w:rsid w:val="00B74029"/>
    <w:rsid w:val="00B8148E"/>
    <w:rsid w:val="00B814F7"/>
    <w:rsid w:val="00B8174A"/>
    <w:rsid w:val="00B82B03"/>
    <w:rsid w:val="00B83632"/>
    <w:rsid w:val="00B83CF7"/>
    <w:rsid w:val="00B85970"/>
    <w:rsid w:val="00B9676E"/>
    <w:rsid w:val="00BA0D17"/>
    <w:rsid w:val="00BA3470"/>
    <w:rsid w:val="00BA7588"/>
    <w:rsid w:val="00BB0C1C"/>
    <w:rsid w:val="00BB0D83"/>
    <w:rsid w:val="00BB0F7D"/>
    <w:rsid w:val="00BB36A0"/>
    <w:rsid w:val="00BC06BB"/>
    <w:rsid w:val="00BC06C5"/>
    <w:rsid w:val="00BC45E1"/>
    <w:rsid w:val="00BC721E"/>
    <w:rsid w:val="00BD0524"/>
    <w:rsid w:val="00BD2558"/>
    <w:rsid w:val="00BD43D5"/>
    <w:rsid w:val="00BD57FF"/>
    <w:rsid w:val="00BD5917"/>
    <w:rsid w:val="00BD6D69"/>
    <w:rsid w:val="00BE031E"/>
    <w:rsid w:val="00BE2074"/>
    <w:rsid w:val="00BE2F28"/>
    <w:rsid w:val="00BE37CA"/>
    <w:rsid w:val="00BE61E5"/>
    <w:rsid w:val="00BE687E"/>
    <w:rsid w:val="00BF3D98"/>
    <w:rsid w:val="00BF4617"/>
    <w:rsid w:val="00BF628A"/>
    <w:rsid w:val="00C03737"/>
    <w:rsid w:val="00C0440E"/>
    <w:rsid w:val="00C0482A"/>
    <w:rsid w:val="00C058B9"/>
    <w:rsid w:val="00C06015"/>
    <w:rsid w:val="00C06A81"/>
    <w:rsid w:val="00C130B7"/>
    <w:rsid w:val="00C1707D"/>
    <w:rsid w:val="00C17745"/>
    <w:rsid w:val="00C17925"/>
    <w:rsid w:val="00C20A5C"/>
    <w:rsid w:val="00C218C3"/>
    <w:rsid w:val="00C21F03"/>
    <w:rsid w:val="00C242F0"/>
    <w:rsid w:val="00C25B29"/>
    <w:rsid w:val="00C32D90"/>
    <w:rsid w:val="00C346EA"/>
    <w:rsid w:val="00C35069"/>
    <w:rsid w:val="00C378EC"/>
    <w:rsid w:val="00C4029F"/>
    <w:rsid w:val="00C4092E"/>
    <w:rsid w:val="00C43842"/>
    <w:rsid w:val="00C448D6"/>
    <w:rsid w:val="00C449CB"/>
    <w:rsid w:val="00C55FA2"/>
    <w:rsid w:val="00C565CB"/>
    <w:rsid w:val="00C63516"/>
    <w:rsid w:val="00C637C0"/>
    <w:rsid w:val="00C64CB4"/>
    <w:rsid w:val="00C66F30"/>
    <w:rsid w:val="00C67185"/>
    <w:rsid w:val="00C67D4F"/>
    <w:rsid w:val="00C71139"/>
    <w:rsid w:val="00C71357"/>
    <w:rsid w:val="00C719E6"/>
    <w:rsid w:val="00C722DC"/>
    <w:rsid w:val="00C72728"/>
    <w:rsid w:val="00C728C3"/>
    <w:rsid w:val="00C730E8"/>
    <w:rsid w:val="00C7342F"/>
    <w:rsid w:val="00C742A8"/>
    <w:rsid w:val="00C7498C"/>
    <w:rsid w:val="00C802AB"/>
    <w:rsid w:val="00C82760"/>
    <w:rsid w:val="00C8304D"/>
    <w:rsid w:val="00C85887"/>
    <w:rsid w:val="00C85F93"/>
    <w:rsid w:val="00C92026"/>
    <w:rsid w:val="00C97AC6"/>
    <w:rsid w:val="00CA261B"/>
    <w:rsid w:val="00CA384C"/>
    <w:rsid w:val="00CA51CF"/>
    <w:rsid w:val="00CA5DE7"/>
    <w:rsid w:val="00CB1527"/>
    <w:rsid w:val="00CB40E8"/>
    <w:rsid w:val="00CB68E8"/>
    <w:rsid w:val="00CC5359"/>
    <w:rsid w:val="00CC662E"/>
    <w:rsid w:val="00CC6CD8"/>
    <w:rsid w:val="00CC7C26"/>
    <w:rsid w:val="00CD03E0"/>
    <w:rsid w:val="00CD300D"/>
    <w:rsid w:val="00CD3CEE"/>
    <w:rsid w:val="00CD7C2C"/>
    <w:rsid w:val="00CE27F9"/>
    <w:rsid w:val="00CE2C0F"/>
    <w:rsid w:val="00CE446D"/>
    <w:rsid w:val="00CE5452"/>
    <w:rsid w:val="00CE5AFF"/>
    <w:rsid w:val="00CF2F2E"/>
    <w:rsid w:val="00CF7D89"/>
    <w:rsid w:val="00CF7FAB"/>
    <w:rsid w:val="00D0021D"/>
    <w:rsid w:val="00D0089C"/>
    <w:rsid w:val="00D019CC"/>
    <w:rsid w:val="00D02284"/>
    <w:rsid w:val="00D02C8F"/>
    <w:rsid w:val="00D044EF"/>
    <w:rsid w:val="00D05C35"/>
    <w:rsid w:val="00D072FF"/>
    <w:rsid w:val="00D10C85"/>
    <w:rsid w:val="00D11002"/>
    <w:rsid w:val="00D125F3"/>
    <w:rsid w:val="00D20EF5"/>
    <w:rsid w:val="00D2689F"/>
    <w:rsid w:val="00D26F11"/>
    <w:rsid w:val="00D2709A"/>
    <w:rsid w:val="00D301DD"/>
    <w:rsid w:val="00D31BEB"/>
    <w:rsid w:val="00D35EA3"/>
    <w:rsid w:val="00D37A31"/>
    <w:rsid w:val="00D4113E"/>
    <w:rsid w:val="00D44916"/>
    <w:rsid w:val="00D44C36"/>
    <w:rsid w:val="00D47C1F"/>
    <w:rsid w:val="00D50716"/>
    <w:rsid w:val="00D51978"/>
    <w:rsid w:val="00D56B1B"/>
    <w:rsid w:val="00D57BFF"/>
    <w:rsid w:val="00D61533"/>
    <w:rsid w:val="00D61ACA"/>
    <w:rsid w:val="00D62727"/>
    <w:rsid w:val="00D64C22"/>
    <w:rsid w:val="00D7087F"/>
    <w:rsid w:val="00D71798"/>
    <w:rsid w:val="00D7479D"/>
    <w:rsid w:val="00D7504F"/>
    <w:rsid w:val="00D7691C"/>
    <w:rsid w:val="00D77FD2"/>
    <w:rsid w:val="00D801F9"/>
    <w:rsid w:val="00D85499"/>
    <w:rsid w:val="00D86018"/>
    <w:rsid w:val="00D86946"/>
    <w:rsid w:val="00D90A3D"/>
    <w:rsid w:val="00D91877"/>
    <w:rsid w:val="00D928CD"/>
    <w:rsid w:val="00D92EFD"/>
    <w:rsid w:val="00D9383D"/>
    <w:rsid w:val="00D96484"/>
    <w:rsid w:val="00D978F5"/>
    <w:rsid w:val="00DA06ED"/>
    <w:rsid w:val="00DA52BB"/>
    <w:rsid w:val="00DB21ED"/>
    <w:rsid w:val="00DB6FCB"/>
    <w:rsid w:val="00DC0D75"/>
    <w:rsid w:val="00DC19DE"/>
    <w:rsid w:val="00DC1EB7"/>
    <w:rsid w:val="00DC2379"/>
    <w:rsid w:val="00DC5361"/>
    <w:rsid w:val="00DC6247"/>
    <w:rsid w:val="00DC62E8"/>
    <w:rsid w:val="00DC79CE"/>
    <w:rsid w:val="00DD1C74"/>
    <w:rsid w:val="00DD3B35"/>
    <w:rsid w:val="00DD6076"/>
    <w:rsid w:val="00DD637F"/>
    <w:rsid w:val="00DE00DC"/>
    <w:rsid w:val="00DE019C"/>
    <w:rsid w:val="00DE0F54"/>
    <w:rsid w:val="00DE13F9"/>
    <w:rsid w:val="00DE191A"/>
    <w:rsid w:val="00DE3199"/>
    <w:rsid w:val="00DE3AB0"/>
    <w:rsid w:val="00DE3B27"/>
    <w:rsid w:val="00DE4618"/>
    <w:rsid w:val="00DE69DA"/>
    <w:rsid w:val="00DE6CE2"/>
    <w:rsid w:val="00DE7EBB"/>
    <w:rsid w:val="00DF4D77"/>
    <w:rsid w:val="00DF6733"/>
    <w:rsid w:val="00E027B4"/>
    <w:rsid w:val="00E05ED2"/>
    <w:rsid w:val="00E068A9"/>
    <w:rsid w:val="00E06C7C"/>
    <w:rsid w:val="00E10B75"/>
    <w:rsid w:val="00E13807"/>
    <w:rsid w:val="00E14233"/>
    <w:rsid w:val="00E16796"/>
    <w:rsid w:val="00E22529"/>
    <w:rsid w:val="00E23A9D"/>
    <w:rsid w:val="00E25086"/>
    <w:rsid w:val="00E259BC"/>
    <w:rsid w:val="00E25C41"/>
    <w:rsid w:val="00E26903"/>
    <w:rsid w:val="00E34920"/>
    <w:rsid w:val="00E37482"/>
    <w:rsid w:val="00E37CAD"/>
    <w:rsid w:val="00E43E1F"/>
    <w:rsid w:val="00E45E08"/>
    <w:rsid w:val="00E460C3"/>
    <w:rsid w:val="00E50E7F"/>
    <w:rsid w:val="00E513FC"/>
    <w:rsid w:val="00E54F90"/>
    <w:rsid w:val="00E55692"/>
    <w:rsid w:val="00E61E1C"/>
    <w:rsid w:val="00E625A7"/>
    <w:rsid w:val="00E6463A"/>
    <w:rsid w:val="00E6638A"/>
    <w:rsid w:val="00E670AD"/>
    <w:rsid w:val="00E67288"/>
    <w:rsid w:val="00E73C0D"/>
    <w:rsid w:val="00E767A5"/>
    <w:rsid w:val="00E8013F"/>
    <w:rsid w:val="00E822A7"/>
    <w:rsid w:val="00E83963"/>
    <w:rsid w:val="00E83FED"/>
    <w:rsid w:val="00E84654"/>
    <w:rsid w:val="00E846AC"/>
    <w:rsid w:val="00E85402"/>
    <w:rsid w:val="00E86330"/>
    <w:rsid w:val="00E900ED"/>
    <w:rsid w:val="00E9226E"/>
    <w:rsid w:val="00E92664"/>
    <w:rsid w:val="00E93316"/>
    <w:rsid w:val="00E93EAD"/>
    <w:rsid w:val="00E958A4"/>
    <w:rsid w:val="00E971E3"/>
    <w:rsid w:val="00EA0F08"/>
    <w:rsid w:val="00EA12A4"/>
    <w:rsid w:val="00EA1850"/>
    <w:rsid w:val="00EA33EF"/>
    <w:rsid w:val="00EA5086"/>
    <w:rsid w:val="00EA6308"/>
    <w:rsid w:val="00EA6DC7"/>
    <w:rsid w:val="00EB02B1"/>
    <w:rsid w:val="00EB0FCB"/>
    <w:rsid w:val="00EB25D8"/>
    <w:rsid w:val="00EB3763"/>
    <w:rsid w:val="00EB5A79"/>
    <w:rsid w:val="00EB62A9"/>
    <w:rsid w:val="00EB65C0"/>
    <w:rsid w:val="00EB6F5C"/>
    <w:rsid w:val="00EC1CBB"/>
    <w:rsid w:val="00EC1FBE"/>
    <w:rsid w:val="00EC2B0C"/>
    <w:rsid w:val="00EC35B8"/>
    <w:rsid w:val="00EC3CEB"/>
    <w:rsid w:val="00EC4FC1"/>
    <w:rsid w:val="00EC6988"/>
    <w:rsid w:val="00ED06DF"/>
    <w:rsid w:val="00ED364E"/>
    <w:rsid w:val="00ED41BC"/>
    <w:rsid w:val="00ED55E0"/>
    <w:rsid w:val="00ED5CF6"/>
    <w:rsid w:val="00ED74F1"/>
    <w:rsid w:val="00EE1022"/>
    <w:rsid w:val="00EE20C7"/>
    <w:rsid w:val="00EE2F5D"/>
    <w:rsid w:val="00EE3676"/>
    <w:rsid w:val="00EE729D"/>
    <w:rsid w:val="00EE79B9"/>
    <w:rsid w:val="00EF01CE"/>
    <w:rsid w:val="00EF4D91"/>
    <w:rsid w:val="00EF548C"/>
    <w:rsid w:val="00F00C62"/>
    <w:rsid w:val="00F0133D"/>
    <w:rsid w:val="00F02F39"/>
    <w:rsid w:val="00F03B8F"/>
    <w:rsid w:val="00F0486E"/>
    <w:rsid w:val="00F0492D"/>
    <w:rsid w:val="00F10554"/>
    <w:rsid w:val="00F11D26"/>
    <w:rsid w:val="00F11F65"/>
    <w:rsid w:val="00F12D52"/>
    <w:rsid w:val="00F15686"/>
    <w:rsid w:val="00F165D0"/>
    <w:rsid w:val="00F17533"/>
    <w:rsid w:val="00F20A83"/>
    <w:rsid w:val="00F20C1A"/>
    <w:rsid w:val="00F2526E"/>
    <w:rsid w:val="00F25486"/>
    <w:rsid w:val="00F2676E"/>
    <w:rsid w:val="00F26D20"/>
    <w:rsid w:val="00F26EFB"/>
    <w:rsid w:val="00F27893"/>
    <w:rsid w:val="00F30899"/>
    <w:rsid w:val="00F32E85"/>
    <w:rsid w:val="00F3387F"/>
    <w:rsid w:val="00F33A91"/>
    <w:rsid w:val="00F33A9D"/>
    <w:rsid w:val="00F35E6B"/>
    <w:rsid w:val="00F36843"/>
    <w:rsid w:val="00F374B2"/>
    <w:rsid w:val="00F3769C"/>
    <w:rsid w:val="00F4009D"/>
    <w:rsid w:val="00F40BCA"/>
    <w:rsid w:val="00F436FE"/>
    <w:rsid w:val="00F47A2C"/>
    <w:rsid w:val="00F51BC4"/>
    <w:rsid w:val="00F5371A"/>
    <w:rsid w:val="00F556F9"/>
    <w:rsid w:val="00F56F11"/>
    <w:rsid w:val="00F62692"/>
    <w:rsid w:val="00F639EA"/>
    <w:rsid w:val="00F63FB6"/>
    <w:rsid w:val="00F67296"/>
    <w:rsid w:val="00F735F7"/>
    <w:rsid w:val="00F767E0"/>
    <w:rsid w:val="00F77AE4"/>
    <w:rsid w:val="00F813CD"/>
    <w:rsid w:val="00F82573"/>
    <w:rsid w:val="00F828F6"/>
    <w:rsid w:val="00F90D90"/>
    <w:rsid w:val="00F914ED"/>
    <w:rsid w:val="00F91890"/>
    <w:rsid w:val="00F91CCF"/>
    <w:rsid w:val="00F91FE0"/>
    <w:rsid w:val="00F93483"/>
    <w:rsid w:val="00F93557"/>
    <w:rsid w:val="00FA07CD"/>
    <w:rsid w:val="00FA0DDB"/>
    <w:rsid w:val="00FA236A"/>
    <w:rsid w:val="00FA3A18"/>
    <w:rsid w:val="00FA6259"/>
    <w:rsid w:val="00FA7750"/>
    <w:rsid w:val="00FB0D70"/>
    <w:rsid w:val="00FB336E"/>
    <w:rsid w:val="00FB4272"/>
    <w:rsid w:val="00FB58F9"/>
    <w:rsid w:val="00FB5CC5"/>
    <w:rsid w:val="00FC29A3"/>
    <w:rsid w:val="00FC5683"/>
    <w:rsid w:val="00FC6340"/>
    <w:rsid w:val="00FC64FD"/>
    <w:rsid w:val="00FC6C3D"/>
    <w:rsid w:val="00FC6CD9"/>
    <w:rsid w:val="00FC6D86"/>
    <w:rsid w:val="00FC7256"/>
    <w:rsid w:val="00FD1ECD"/>
    <w:rsid w:val="00FD303E"/>
    <w:rsid w:val="00FD4D41"/>
    <w:rsid w:val="00FE06C0"/>
    <w:rsid w:val="00FE14FE"/>
    <w:rsid w:val="00FE2F29"/>
    <w:rsid w:val="00FE3910"/>
    <w:rsid w:val="00FF0442"/>
    <w:rsid w:val="00FF0691"/>
    <w:rsid w:val="00FF0A59"/>
    <w:rsid w:val="00FF291A"/>
    <w:rsid w:val="00FF38A0"/>
    <w:rsid w:val="00FF5116"/>
    <w:rsid w:val="00FF7136"/>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CF7D89"/>
    <w:pPr>
      <w:spacing w:after="0" w:line="240" w:lineRule="auto"/>
    </w:pPr>
    <w:rPr>
      <w:rFonts w:ascii="Calibri" w:eastAsiaTheme="minorHAnsi" w:hAnsi="Calibri" w:cs="Calibri"/>
      <w:lang w:bidi="ar-SA"/>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CARB_BULLETS,List Paragraph1,bullet list,Medium Grid 1 - Accent 21,List Paragraph 1,List Paragraph indent,TOC style"/>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hAnsi="Consolas" w:cs="Times New Roman"/>
      <w:sz w:val="21"/>
      <w:szCs w:val="21"/>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CARB_BULLETS Char,List Paragraph1 Char,bullet list Char,Medium Grid 1 - Accent 21 Char,List Paragraph 1 Char,List Paragraph indent Char,TOC style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 w:type="character" w:customStyle="1" w:styleId="normaltextrun">
    <w:name w:val="normaltextrun"/>
    <w:basedOn w:val="DefaultParagraphFont"/>
    <w:rsid w:val="00A912E8"/>
  </w:style>
  <w:style w:type="paragraph" w:customStyle="1" w:styleId="paragraph">
    <w:name w:val="paragraph"/>
    <w:basedOn w:val="Normal"/>
    <w:rsid w:val="001A44C2"/>
    <w:pPr>
      <w:spacing w:before="100" w:beforeAutospacing="1" w:after="100" w:afterAutospacing="1"/>
    </w:pPr>
  </w:style>
  <w:style w:type="paragraph" w:customStyle="1" w:styleId="Default">
    <w:name w:val="Default"/>
    <w:rsid w:val="00677BF6"/>
    <w:pPr>
      <w:autoSpaceDE w:val="0"/>
      <w:autoSpaceDN w:val="0"/>
      <w:adjustRightInd w:val="0"/>
      <w:spacing w:after="0" w:line="240" w:lineRule="auto"/>
    </w:pPr>
    <w:rPr>
      <w:rFonts w:ascii="Arial" w:eastAsiaTheme="minorHAnsi" w:hAnsi="Arial" w:cs="Arial"/>
      <w:color w:val="000000"/>
      <w:sz w:val="24"/>
      <w:szCs w:val="24"/>
      <w:lang w:bidi="ar-SA"/>
    </w:rPr>
  </w:style>
  <w:style w:type="character" w:customStyle="1" w:styleId="Normal1">
    <w:name w:val="Normal1"/>
    <w:qFormat/>
    <w:rsid w:val="00677BF6"/>
    <w:rPr>
      <w:rFonts w:ascii="Arial" w:eastAsia="Arial" w:hAnsi="Arial" w:cs="Arial" w:hint="default"/>
      <w:color w:val="000000"/>
      <w:sz w:val="20"/>
      <w:szCs w:val="2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129709082">
      <w:bodyDiv w:val="1"/>
      <w:marLeft w:val="0"/>
      <w:marRight w:val="0"/>
      <w:marTop w:val="0"/>
      <w:marBottom w:val="0"/>
      <w:divBdr>
        <w:top w:val="none" w:sz="0" w:space="0" w:color="auto"/>
        <w:left w:val="none" w:sz="0" w:space="0" w:color="auto"/>
        <w:bottom w:val="none" w:sz="0" w:space="0" w:color="auto"/>
        <w:right w:val="none" w:sz="0" w:space="0" w:color="auto"/>
      </w:divBdr>
    </w:div>
    <w:div w:id="175928060">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407463881">
      <w:bodyDiv w:val="1"/>
      <w:marLeft w:val="0"/>
      <w:marRight w:val="0"/>
      <w:marTop w:val="0"/>
      <w:marBottom w:val="0"/>
      <w:divBdr>
        <w:top w:val="none" w:sz="0" w:space="0" w:color="auto"/>
        <w:left w:val="none" w:sz="0" w:space="0" w:color="auto"/>
        <w:bottom w:val="none" w:sz="0" w:space="0" w:color="auto"/>
        <w:right w:val="none" w:sz="0" w:space="0" w:color="auto"/>
      </w:divBdr>
    </w:div>
    <w:div w:id="442580635">
      <w:bodyDiv w:val="1"/>
      <w:marLeft w:val="0"/>
      <w:marRight w:val="0"/>
      <w:marTop w:val="0"/>
      <w:marBottom w:val="0"/>
      <w:divBdr>
        <w:top w:val="none" w:sz="0" w:space="0" w:color="auto"/>
        <w:left w:val="none" w:sz="0" w:space="0" w:color="auto"/>
        <w:bottom w:val="none" w:sz="0" w:space="0" w:color="auto"/>
        <w:right w:val="none" w:sz="0" w:space="0" w:color="auto"/>
      </w:divBdr>
    </w:div>
    <w:div w:id="499201586">
      <w:bodyDiv w:val="1"/>
      <w:marLeft w:val="0"/>
      <w:marRight w:val="0"/>
      <w:marTop w:val="0"/>
      <w:marBottom w:val="0"/>
      <w:divBdr>
        <w:top w:val="none" w:sz="0" w:space="0" w:color="auto"/>
        <w:left w:val="none" w:sz="0" w:space="0" w:color="auto"/>
        <w:bottom w:val="none" w:sz="0" w:space="0" w:color="auto"/>
        <w:right w:val="none" w:sz="0" w:space="0" w:color="auto"/>
      </w:divBdr>
    </w:div>
    <w:div w:id="620040947">
      <w:bodyDiv w:val="1"/>
      <w:marLeft w:val="0"/>
      <w:marRight w:val="0"/>
      <w:marTop w:val="0"/>
      <w:marBottom w:val="0"/>
      <w:divBdr>
        <w:top w:val="none" w:sz="0" w:space="0" w:color="auto"/>
        <w:left w:val="none" w:sz="0" w:space="0" w:color="auto"/>
        <w:bottom w:val="none" w:sz="0" w:space="0" w:color="auto"/>
        <w:right w:val="none" w:sz="0" w:space="0" w:color="auto"/>
      </w:divBdr>
    </w:div>
    <w:div w:id="637690361">
      <w:bodyDiv w:val="1"/>
      <w:marLeft w:val="0"/>
      <w:marRight w:val="0"/>
      <w:marTop w:val="0"/>
      <w:marBottom w:val="0"/>
      <w:divBdr>
        <w:top w:val="none" w:sz="0" w:space="0" w:color="auto"/>
        <w:left w:val="none" w:sz="0" w:space="0" w:color="auto"/>
        <w:bottom w:val="none" w:sz="0" w:space="0" w:color="auto"/>
        <w:right w:val="none" w:sz="0" w:space="0" w:color="auto"/>
      </w:divBdr>
    </w:div>
    <w:div w:id="832335676">
      <w:bodyDiv w:val="1"/>
      <w:marLeft w:val="0"/>
      <w:marRight w:val="0"/>
      <w:marTop w:val="0"/>
      <w:marBottom w:val="0"/>
      <w:divBdr>
        <w:top w:val="none" w:sz="0" w:space="0" w:color="auto"/>
        <w:left w:val="none" w:sz="0" w:space="0" w:color="auto"/>
        <w:bottom w:val="none" w:sz="0" w:space="0" w:color="auto"/>
        <w:right w:val="none" w:sz="0" w:space="0" w:color="auto"/>
      </w:divBdr>
    </w:div>
    <w:div w:id="837422838">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246038201">
      <w:bodyDiv w:val="1"/>
      <w:marLeft w:val="0"/>
      <w:marRight w:val="0"/>
      <w:marTop w:val="0"/>
      <w:marBottom w:val="0"/>
      <w:divBdr>
        <w:top w:val="none" w:sz="0" w:space="0" w:color="auto"/>
        <w:left w:val="none" w:sz="0" w:space="0" w:color="auto"/>
        <w:bottom w:val="none" w:sz="0" w:space="0" w:color="auto"/>
        <w:right w:val="none" w:sz="0" w:space="0" w:color="auto"/>
      </w:divBdr>
    </w:div>
    <w:div w:id="1265266032">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051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urcewell-mn.gov/cooperative-purchasing/040621-mec" TargetMode="External"/><Relationship Id="rId18" Type="http://schemas.openxmlformats.org/officeDocument/2006/relationships/hyperlink" Target="https://app.leg.wa.gov/rcw/default.aspx?cite=18.43" TargetMode="External"/><Relationship Id="rId26" Type="http://schemas.openxmlformats.org/officeDocument/2006/relationships/hyperlink" Target="https://sao.wa.gov/sites/default/files/2023-05/Piggybacking-under-Washington-state-law.pdf" TargetMode="External"/><Relationship Id="rId39" Type="http://schemas.openxmlformats.org/officeDocument/2006/relationships/hyperlink" Target="https://wa.gov/" TargetMode="External"/><Relationship Id="rId21" Type="http://schemas.openxmlformats.org/officeDocument/2006/relationships/hyperlink" Target="mailto:EASMail@des.wa.gov" TargetMode="External"/><Relationship Id="rId34" Type="http://schemas.openxmlformats.org/officeDocument/2006/relationships/hyperlink" Target="https://des.wa.gov/sell/how-work-state"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rcw/default.aspx?cite=39.04" TargetMode="External"/><Relationship Id="rId29" Type="http://schemas.openxmlformats.org/officeDocument/2006/relationships/hyperlink" Target="https://des.wa.gov/services/contracting-purchasing/policies-training/resources/environmentally-preferred-purcha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rcewell-mn.gov/cooperative-purchasing/120822-mmr" TargetMode="External"/><Relationship Id="rId24" Type="http://schemas.openxmlformats.org/officeDocument/2006/relationships/hyperlink" Target="https://sao.wa.gov/the-audit-connection-blog/2019/piggybacking-law-change-eases-contract-requirement" TargetMode="External"/><Relationship Id="rId32" Type="http://schemas.openxmlformats.org/officeDocument/2006/relationships/hyperlink" Target="https://des.wa.gov/sell/how-work-state/register-bid-opportunities" TargetMode="External"/><Relationship Id="rId37" Type="http://schemas.openxmlformats.org/officeDocument/2006/relationships/hyperlink" Target="https://apps.des.wa.gov/DESContracts/Home/MCUAListing" TargetMode="External"/><Relationship Id="rId40" Type="http://schemas.openxmlformats.org/officeDocument/2006/relationships/hyperlink" Target="https://des.wa.gov/services/contracting-purchasing/policies-training/resources/environmentally-preferred-purchasin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rcw/default.aspx?cite=39.26" TargetMode="External"/><Relationship Id="rId23" Type="http://schemas.openxmlformats.org/officeDocument/2006/relationships/hyperlink" Target="https://apps.des.wa.gov/DESContracts/Home/MCUAListing" TargetMode="External"/><Relationship Id="rId28" Type="http://schemas.openxmlformats.org/officeDocument/2006/relationships/hyperlink" Target="https://apps.des.wa.gov/DESContracts/Home/PlannedProcurement" TargetMode="External"/><Relationship Id="rId36" Type="http://schemas.openxmlformats.org/officeDocument/2006/relationships/hyperlink" Target="https://apps.des.wa.gov/CSR/Vendor_Qtrly_Sales_Rpt.pdf" TargetMode="External"/><Relationship Id="rId10" Type="http://schemas.openxmlformats.org/officeDocument/2006/relationships/endnotes" Target="endnotes.xml"/><Relationship Id="rId19" Type="http://schemas.openxmlformats.org/officeDocument/2006/relationships/hyperlink" Target="https://mrsc.org/Home.aspx" TargetMode="External"/><Relationship Id="rId31"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sourcewell.org/public/Shared%20Documents/Solicitations/10617/00004771/Contract%20Documents/Mobile%20Modular%20Contract%20120822.pdf" TargetMode="External"/><Relationship Id="rId22" Type="http://schemas.openxmlformats.org/officeDocument/2006/relationships/hyperlink" Target="https://apps.des.wa.gov/DESContracts/Home/MCUAListing" TargetMode="External"/><Relationship Id="rId27" Type="http://schemas.openxmlformats.org/officeDocument/2006/relationships/hyperlink" Target="https://apps.des.wa.gov/ContractEval/ContractFeedback.aspx?s=C&amp;c=00820" TargetMode="External"/><Relationship Id="rId30" Type="http://schemas.openxmlformats.org/officeDocument/2006/relationships/hyperlink" Target="https://pr-webs-vendor.des.wa.gov/" TargetMode="External"/><Relationship Id="rId35" Type="http://schemas.openxmlformats.org/officeDocument/2006/relationships/hyperlink" Target="https://des.wa.gov/sell/bid-opportuniti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ew.officeapps.live.com/op/view.aspx?src=https%3A%2F%2Fapps.des.wa.gov%2Fcontracting%2F01124_Modular_Guidelines_%26_Suggestions.xlsx&amp;wdOrigin=BROWSELINK" TargetMode="External"/><Relationship Id="rId17" Type="http://schemas.openxmlformats.org/officeDocument/2006/relationships/hyperlink" Target="https://app.leg.wa.gov/rcw/default.aspx?cite=39.80" TargetMode="External"/><Relationship Id="rId25" Type="http://schemas.openxmlformats.org/officeDocument/2006/relationships/hyperlink" Target="https://sao.wa.gov/sites/default/files/2023-05/Piggybacking-under-Washington-state-law.pdf" TargetMode="External"/><Relationship Id="rId33" Type="http://schemas.openxmlformats.org/officeDocument/2006/relationships/hyperlink" Target="mailto:WEBSCustomerService@des.wa.gov" TargetMode="External"/><Relationship Id="rId38" Type="http://schemas.openxmlformats.org/officeDocument/2006/relationships/hyperlink" Target="https://wa.gov/" TargetMode="External"/><Relationship Id="rId20" Type="http://schemas.openxmlformats.org/officeDocument/2006/relationships/hyperlink" Target="http://des.wa.gov/services/facilities-leasing/public-works-design-construction/state-agencies-and-educational-facilitie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8</Pages>
  <Words>3133</Words>
  <Characters>21930</Characters>
  <Application>Microsoft Office Word</Application>
  <DocSecurity>0</DocSecurity>
  <Lines>430</Lines>
  <Paragraphs>171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23723 –  Prefabricated &amp;Modular Bridges</vt:lpstr>
      <vt:lpstr>    Purchaser Related</vt:lpstr>
      <vt:lpstr>    Contractor Related</vt:lpstr>
    </vt:vector>
  </TitlesOfParts>
  <Company>State of Washington</Company>
  <LinksUpToDate>false</LinksUpToDate>
  <CharactersWithSpaces>24892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Hannah, Julie (DES)</cp:lastModifiedBy>
  <cp:revision>223</cp:revision>
  <cp:lastPrinted>2018-02-01T23:33:00Z</cp:lastPrinted>
  <dcterms:created xsi:type="dcterms:W3CDTF">2025-01-10T21:58:00Z</dcterms:created>
  <dcterms:modified xsi:type="dcterms:W3CDTF">2025-02-01T01:10:00Z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