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70" w:rsidRDefault="00847470" w:rsidP="00847470">
      <w:pPr>
        <w:spacing w:after="0" w:line="240" w:lineRule="auto"/>
        <w:rPr>
          <w:b/>
          <w:smallCaps/>
          <w:sz w:val="24"/>
          <w:szCs w:val="24"/>
        </w:rPr>
      </w:pPr>
      <w:bookmarkStart w:id="0" w:name="_GoBack"/>
      <w:bookmarkEnd w:id="0"/>
    </w:p>
    <w:p w:rsidR="00847470" w:rsidRDefault="00847470" w:rsidP="00847470">
      <w:pPr>
        <w:spacing w:after="0" w:line="240" w:lineRule="auto"/>
        <w:rPr>
          <w:b/>
          <w:smallCaps/>
          <w:sz w:val="28"/>
          <w:szCs w:val="28"/>
        </w:rPr>
      </w:pPr>
      <w:r>
        <w:rPr>
          <w:b/>
          <w:smallCaps/>
          <w:sz w:val="28"/>
          <w:szCs w:val="28"/>
        </w:rPr>
        <w:t>01820 – Flooring and Installation Services</w:t>
      </w:r>
    </w:p>
    <w:p w:rsidR="00847470" w:rsidRDefault="00847470" w:rsidP="00847470">
      <w:pPr>
        <w:spacing w:after="0" w:line="240" w:lineRule="auto"/>
        <w:rPr>
          <w:b/>
          <w:smallCaps/>
          <w:sz w:val="24"/>
          <w:szCs w:val="24"/>
        </w:rPr>
      </w:pPr>
    </w:p>
    <w:p w:rsidR="00847470" w:rsidRDefault="00847470" w:rsidP="00847470">
      <w:pPr>
        <w:spacing w:after="0" w:line="240" w:lineRule="auto"/>
        <w:rPr>
          <w:b/>
          <w:smallCaps/>
          <w:sz w:val="24"/>
          <w:szCs w:val="24"/>
        </w:rPr>
      </w:pPr>
      <w:r w:rsidRPr="000C05EC">
        <w:rPr>
          <w:b/>
          <w:smallCaps/>
          <w:sz w:val="24"/>
          <w:szCs w:val="24"/>
        </w:rPr>
        <w:t>Performance Requirements</w:t>
      </w:r>
    </w:p>
    <w:p w:rsidR="00847470" w:rsidRDefault="00847470" w:rsidP="00847470">
      <w:pPr>
        <w:spacing w:after="0" w:line="240" w:lineRule="auto"/>
        <w:rPr>
          <w:b/>
          <w:smallCaps/>
          <w:sz w:val="24"/>
          <w:szCs w:val="24"/>
        </w:rPr>
      </w:pPr>
    </w:p>
    <w:p w:rsidR="00847470" w:rsidRPr="00334DD7" w:rsidRDefault="00847470" w:rsidP="00847470">
      <w:pPr>
        <w:pStyle w:val="ListParagraph"/>
        <w:numPr>
          <w:ilvl w:val="0"/>
          <w:numId w:val="2"/>
        </w:numPr>
        <w:spacing w:after="0" w:line="240" w:lineRule="auto"/>
        <w:contextualSpacing w:val="0"/>
        <w:rPr>
          <w:b/>
        </w:rPr>
      </w:pPr>
      <w:r w:rsidRPr="00334DD7">
        <w:rPr>
          <w:b/>
        </w:rPr>
        <w:t xml:space="preserve">Customer Service </w:t>
      </w:r>
    </w:p>
    <w:p w:rsidR="00847470" w:rsidRDefault="00847470" w:rsidP="00847470">
      <w:pPr>
        <w:numPr>
          <w:ilvl w:val="0"/>
          <w:numId w:val="3"/>
        </w:numPr>
        <w:spacing w:before="80" w:after="0" w:line="240" w:lineRule="auto"/>
        <w:ind w:left="1267"/>
      </w:pPr>
      <w:r>
        <w:t>Contractor shall acknowledge Purchaser job quote requests within one (1) business day of request and, within three (3) business days, schedule a job quote request with Purchaser (e.g., schedule site visit).</w:t>
      </w:r>
    </w:p>
    <w:p w:rsidR="00847470" w:rsidRDefault="00847470" w:rsidP="00847470">
      <w:pPr>
        <w:numPr>
          <w:ilvl w:val="0"/>
          <w:numId w:val="3"/>
        </w:numPr>
        <w:spacing w:before="80" w:after="0" w:line="240" w:lineRule="auto"/>
        <w:ind w:left="1267"/>
      </w:pPr>
      <w:r>
        <w:t>Contractor shall, unless otherwise agreed upon by Purchaser, meet on site with Purchaser to consult and measure within fourteen (14) calendar days of Purchaser’s job quote request.</w:t>
      </w:r>
    </w:p>
    <w:p w:rsidR="00847470" w:rsidRDefault="00847470" w:rsidP="00847470">
      <w:pPr>
        <w:numPr>
          <w:ilvl w:val="0"/>
          <w:numId w:val="3"/>
        </w:numPr>
        <w:spacing w:before="80" w:after="0" w:line="240" w:lineRule="auto"/>
        <w:ind w:left="1267"/>
      </w:pPr>
      <w:r>
        <w:t>Contractor shall, unless otherwise agreed upon by Purchaser, provide to Purchaser a full and complete job quote within twenty-one (21) calendar days of Purchaser’s job quote request.</w:t>
      </w:r>
    </w:p>
    <w:p w:rsidR="00847470" w:rsidRDefault="00847470" w:rsidP="00847470">
      <w:pPr>
        <w:pStyle w:val="ListParagraph"/>
        <w:numPr>
          <w:ilvl w:val="0"/>
          <w:numId w:val="2"/>
        </w:numPr>
        <w:spacing w:before="120" w:after="0" w:line="240" w:lineRule="auto"/>
      </w:pPr>
      <w:r w:rsidRPr="00334DD7">
        <w:rPr>
          <w:b/>
        </w:rPr>
        <w:t>Schedules</w:t>
      </w:r>
      <w:r>
        <w:t>.</w:t>
      </w:r>
      <w:r w:rsidRPr="000A4C4E">
        <w:t xml:space="preserve"> </w:t>
      </w:r>
      <w:r>
        <w:t xml:space="preserve">Schedules </w:t>
      </w:r>
      <w:r w:rsidRPr="000A4C4E">
        <w:t>will be agreed upon between the Purchaser and the Contractor and will follow the below guidelines at a minimum:</w:t>
      </w:r>
    </w:p>
    <w:p w:rsidR="00847470" w:rsidRDefault="00847470" w:rsidP="00847470">
      <w:pPr>
        <w:pStyle w:val="ListParagraph"/>
        <w:numPr>
          <w:ilvl w:val="0"/>
          <w:numId w:val="1"/>
        </w:numPr>
        <w:spacing w:before="80" w:after="0" w:line="240" w:lineRule="auto"/>
        <w:ind w:left="1166"/>
        <w:contextualSpacing w:val="0"/>
      </w:pPr>
      <w:r>
        <w:t xml:space="preserve">If there will be a delay or cancellation in the agreed upon schedule, Contractor must provide notice to the Purchaser two (2) business days in advance.  </w:t>
      </w:r>
    </w:p>
    <w:p w:rsidR="00847470" w:rsidRDefault="00847470" w:rsidP="00847470">
      <w:pPr>
        <w:pStyle w:val="ListParagraph"/>
        <w:numPr>
          <w:ilvl w:val="0"/>
          <w:numId w:val="1"/>
        </w:numPr>
        <w:spacing w:before="80" w:after="0" w:line="240" w:lineRule="auto"/>
        <w:ind w:left="1166"/>
        <w:contextualSpacing w:val="0"/>
      </w:pPr>
      <w:r>
        <w:t>Contractor</w:t>
      </w:r>
      <w:r w:rsidRPr="00480133">
        <w:t xml:space="preserve"> will report any delivery d</w:t>
      </w:r>
      <w:r>
        <w:t>elay whatsoever to the Purchaser</w:t>
      </w:r>
      <w:r w:rsidRPr="00480133">
        <w:t xml:space="preserve">, as well as its cause, within two (2) hours after </w:t>
      </w:r>
      <w:r>
        <w:t>Contractor</w:t>
      </w:r>
      <w:r w:rsidRPr="00480133">
        <w:t xml:space="preserve"> is able to reasonably determine there will be a delay; the report will be provided to </w:t>
      </w:r>
      <w:r>
        <w:t>Purchaser</w:t>
      </w:r>
      <w:r w:rsidRPr="00480133">
        <w:t xml:space="preserve"> by telephone</w:t>
      </w:r>
      <w:r>
        <w:t xml:space="preserve"> or</w:t>
      </w:r>
      <w:r w:rsidRPr="00480133">
        <w:t xml:space="preserve"> e-mail. </w:t>
      </w:r>
      <w:r>
        <w:t>Contractor</w:t>
      </w:r>
      <w:r w:rsidRPr="00480133">
        <w:t xml:space="preserve"> will keep </w:t>
      </w:r>
      <w:r>
        <w:t>Purchaser</w:t>
      </w:r>
      <w:r w:rsidRPr="00480133">
        <w:t xml:space="preserve"> fully informed and will take all reasonable action in eliminating the cause of delay.</w:t>
      </w:r>
    </w:p>
    <w:p w:rsidR="00847470" w:rsidRPr="00480133" w:rsidRDefault="00847470" w:rsidP="00847470">
      <w:pPr>
        <w:pStyle w:val="ListParagraph"/>
        <w:numPr>
          <w:ilvl w:val="0"/>
          <w:numId w:val="1"/>
        </w:numPr>
        <w:spacing w:before="80" w:after="0" w:line="240" w:lineRule="auto"/>
        <w:ind w:left="1166"/>
        <w:contextualSpacing w:val="0"/>
      </w:pPr>
      <w:r>
        <w:t>Contractor shall pickup any items marked for return within three (3) business days.</w:t>
      </w:r>
    </w:p>
    <w:p w:rsidR="00847470" w:rsidRDefault="00847470" w:rsidP="00847470">
      <w:pPr>
        <w:spacing w:after="0" w:line="240" w:lineRule="auto"/>
      </w:pPr>
    </w:p>
    <w:p w:rsidR="00847470" w:rsidRPr="00334DD7" w:rsidRDefault="00847470" w:rsidP="00847470">
      <w:pPr>
        <w:pStyle w:val="ListParagraph"/>
        <w:numPr>
          <w:ilvl w:val="0"/>
          <w:numId w:val="2"/>
        </w:numPr>
        <w:spacing w:after="0" w:line="240" w:lineRule="auto"/>
        <w:rPr>
          <w:b/>
        </w:rPr>
      </w:pPr>
      <w:r w:rsidRPr="00334DD7">
        <w:rPr>
          <w:b/>
        </w:rPr>
        <w:t>Product</w:t>
      </w:r>
      <w:r>
        <w:rPr>
          <w:b/>
        </w:rPr>
        <w:t xml:space="preserve"> Offering and</w:t>
      </w:r>
      <w:r w:rsidRPr="00334DD7">
        <w:rPr>
          <w:b/>
        </w:rPr>
        <w:t xml:space="preserve"> Installation Specifications</w:t>
      </w:r>
    </w:p>
    <w:p w:rsidR="00847470" w:rsidRDefault="00847470" w:rsidP="00847470">
      <w:pPr>
        <w:pStyle w:val="ListParagraph"/>
        <w:numPr>
          <w:ilvl w:val="0"/>
          <w:numId w:val="4"/>
        </w:numPr>
        <w:spacing w:before="80" w:after="0" w:line="240" w:lineRule="auto"/>
        <w:ind w:left="1166"/>
        <w:contextualSpacing w:val="0"/>
      </w:pPr>
      <w:r>
        <w:t>Contractor must recommend any awarded phthalate-free items to the Purchaser prior to accepting an order for any items containing phthalates.</w:t>
      </w:r>
    </w:p>
    <w:p w:rsidR="00847470" w:rsidRDefault="00847470" w:rsidP="00847470">
      <w:pPr>
        <w:pStyle w:val="ListParagraph"/>
        <w:numPr>
          <w:ilvl w:val="0"/>
          <w:numId w:val="4"/>
        </w:numPr>
        <w:spacing w:before="80" w:after="0" w:line="240" w:lineRule="auto"/>
        <w:ind w:left="1170"/>
        <w:contextualSpacing w:val="0"/>
      </w:pPr>
      <w:r w:rsidRPr="001C4061">
        <w:t xml:space="preserve">The awarded bidder(s) must clearly and accurately label environmentally preferred products and services (EPPs) </w:t>
      </w:r>
      <w:r>
        <w:t>offered</w:t>
      </w:r>
      <w:r w:rsidRPr="001C4061">
        <w:t xml:space="preserve">. </w:t>
      </w:r>
    </w:p>
    <w:p w:rsidR="00847470" w:rsidRDefault="00847470" w:rsidP="00847470">
      <w:pPr>
        <w:pStyle w:val="ListParagraph"/>
        <w:numPr>
          <w:ilvl w:val="0"/>
          <w:numId w:val="4"/>
        </w:numPr>
        <w:spacing w:before="80" w:after="0" w:line="240" w:lineRule="auto"/>
        <w:ind w:left="1170"/>
        <w:contextualSpacing w:val="0"/>
      </w:pPr>
      <w:r>
        <w:t xml:space="preserve">Products installed under the resulting contract must meet or exceed the manufacturer’s installation instructions and recommendations including any special precautions, and industry recommended best practices. </w:t>
      </w:r>
    </w:p>
    <w:p w:rsidR="00847470" w:rsidRDefault="00847470" w:rsidP="00847470">
      <w:pPr>
        <w:pStyle w:val="ListParagraph"/>
        <w:numPr>
          <w:ilvl w:val="0"/>
          <w:numId w:val="4"/>
        </w:numPr>
        <w:spacing w:before="80" w:after="0" w:line="240" w:lineRule="auto"/>
        <w:ind w:left="1166"/>
        <w:contextualSpacing w:val="0"/>
      </w:pPr>
      <w:r>
        <w:t>Installation must meet or exceed any applicable state and local building codes, requirements, or standards.</w:t>
      </w:r>
    </w:p>
    <w:p w:rsidR="00847470" w:rsidRDefault="00847470" w:rsidP="00847470">
      <w:pPr>
        <w:pStyle w:val="ListParagraph"/>
        <w:numPr>
          <w:ilvl w:val="0"/>
          <w:numId w:val="4"/>
        </w:numPr>
        <w:spacing w:before="80" w:after="120" w:line="259" w:lineRule="auto"/>
        <w:ind w:left="1166"/>
        <w:contextualSpacing w:val="0"/>
      </w:pPr>
      <w:r w:rsidRPr="00A07A4D">
        <w:t xml:space="preserve">Installers </w:t>
      </w:r>
      <w:r>
        <w:t>must</w:t>
      </w:r>
      <w:r w:rsidRPr="00A07A4D">
        <w:t xml:space="preserve"> have a minimum of 5 years’ experience installing floor covering materials, including but not limited to carpet and resilient flooring materials, and be an approved installer by the flooring manufacturer if applicable.</w:t>
      </w:r>
    </w:p>
    <w:p w:rsidR="00847470" w:rsidRDefault="00847470" w:rsidP="00847470">
      <w:pPr>
        <w:pStyle w:val="ListParagraph"/>
        <w:numPr>
          <w:ilvl w:val="0"/>
          <w:numId w:val="4"/>
        </w:numPr>
        <w:spacing w:after="160" w:line="259" w:lineRule="auto"/>
        <w:ind w:left="1170"/>
      </w:pPr>
      <w:r w:rsidRPr="00A07A4D">
        <w:t xml:space="preserve">Contractor shall take extreme care to limit noise at all times the building is occupied.  Loud or unnecessary conversation shall be avoided.  Playing of music is only permissible if the volume is low enough not to be heard outside the immediate area.  Noise, which Purchaser </w:t>
      </w:r>
      <w:r w:rsidRPr="00A07A4D">
        <w:lastRenderedPageBreak/>
        <w:t>shall determine is disturbing or disruptive to occupants, shall be scheduled for periods when the building is not occupied.</w:t>
      </w:r>
    </w:p>
    <w:p w:rsidR="00847470" w:rsidRDefault="00847470">
      <w:pPr>
        <w:spacing w:after="160" w:line="259" w:lineRule="auto"/>
      </w:pPr>
      <w:r>
        <w:br w:type="page"/>
      </w:r>
    </w:p>
    <w:p w:rsidR="00847470" w:rsidRDefault="00847470" w:rsidP="00847470">
      <w:pPr>
        <w:pStyle w:val="ListParagraph"/>
        <w:widowControl w:val="0"/>
        <w:numPr>
          <w:ilvl w:val="0"/>
          <w:numId w:val="2"/>
        </w:numPr>
        <w:tabs>
          <w:tab w:val="left" w:pos="1280"/>
          <w:tab w:val="left" w:pos="1281"/>
        </w:tabs>
        <w:autoSpaceDE w:val="0"/>
        <w:autoSpaceDN w:val="0"/>
        <w:spacing w:after="0" w:line="240" w:lineRule="auto"/>
        <w:ind w:right="476"/>
        <w:contextualSpacing w:val="0"/>
        <w:rPr>
          <w:rFonts w:cstheme="minorHAnsi"/>
        </w:rPr>
      </w:pPr>
      <w:r w:rsidRPr="001B6915">
        <w:rPr>
          <w:rFonts w:cstheme="minorHAnsi"/>
          <w:b/>
        </w:rPr>
        <w:lastRenderedPageBreak/>
        <w:t>Disposal</w:t>
      </w:r>
      <w:r>
        <w:rPr>
          <w:rFonts w:cstheme="minorHAnsi"/>
          <w:b/>
        </w:rPr>
        <w:t xml:space="preserve"> (Category 1 – Carpet, only)</w:t>
      </w:r>
    </w:p>
    <w:p w:rsidR="00847470" w:rsidRPr="000C05EC" w:rsidRDefault="00847470" w:rsidP="00847470">
      <w:pPr>
        <w:pStyle w:val="ListParagraph"/>
        <w:widowControl w:val="0"/>
        <w:numPr>
          <w:ilvl w:val="1"/>
          <w:numId w:val="2"/>
        </w:numPr>
        <w:tabs>
          <w:tab w:val="left" w:pos="1280"/>
          <w:tab w:val="left" w:pos="1281"/>
        </w:tabs>
        <w:autoSpaceDE w:val="0"/>
        <w:autoSpaceDN w:val="0"/>
        <w:spacing w:after="0" w:line="240" w:lineRule="auto"/>
        <w:ind w:left="1170" w:right="476"/>
        <w:contextualSpacing w:val="0"/>
        <w:rPr>
          <w:sz w:val="24"/>
          <w:szCs w:val="24"/>
        </w:rPr>
      </w:pPr>
      <w:r w:rsidRPr="003D34D4">
        <w:rPr>
          <w:rFonts w:cstheme="minorHAnsi"/>
          <w:color w:val="1A183D"/>
          <w:w w:val="105"/>
        </w:rPr>
        <w:t>A</w:t>
      </w:r>
      <w:r w:rsidRPr="003D34D4">
        <w:rPr>
          <w:rFonts w:cstheme="minorHAnsi"/>
          <w:color w:val="18131F"/>
          <w:w w:val="105"/>
        </w:rPr>
        <w:t>ll ex</w:t>
      </w:r>
      <w:r w:rsidRPr="003D34D4">
        <w:rPr>
          <w:rFonts w:cstheme="minorHAnsi"/>
          <w:color w:val="1A3657"/>
          <w:w w:val="105"/>
        </w:rPr>
        <w:t>i</w:t>
      </w:r>
      <w:r w:rsidRPr="003D34D4">
        <w:rPr>
          <w:rFonts w:cstheme="minorHAnsi"/>
          <w:color w:val="18131F"/>
          <w:w w:val="105"/>
        </w:rPr>
        <w:t>st</w:t>
      </w:r>
      <w:r w:rsidRPr="003D34D4">
        <w:rPr>
          <w:rFonts w:cstheme="minorHAnsi"/>
          <w:color w:val="1A183D"/>
          <w:w w:val="105"/>
        </w:rPr>
        <w:t>i</w:t>
      </w:r>
      <w:r w:rsidRPr="003D34D4">
        <w:rPr>
          <w:rFonts w:cstheme="minorHAnsi"/>
          <w:color w:val="18131F"/>
          <w:w w:val="105"/>
        </w:rPr>
        <w:t>ng ca</w:t>
      </w:r>
      <w:r w:rsidRPr="003D34D4">
        <w:rPr>
          <w:rFonts w:cstheme="minorHAnsi"/>
          <w:color w:val="000101"/>
          <w:w w:val="105"/>
        </w:rPr>
        <w:t>r</w:t>
      </w:r>
      <w:r w:rsidRPr="003D34D4">
        <w:rPr>
          <w:rFonts w:cstheme="minorHAnsi"/>
          <w:color w:val="18131F"/>
          <w:w w:val="105"/>
        </w:rPr>
        <w:t>pet and carpet padding</w:t>
      </w:r>
      <w:r w:rsidRPr="003D34D4">
        <w:rPr>
          <w:rFonts w:cstheme="minorHAnsi"/>
          <w:color w:val="461F1F"/>
          <w:w w:val="105"/>
        </w:rPr>
        <w:t xml:space="preserve"> must</w:t>
      </w:r>
      <w:r w:rsidRPr="003D34D4">
        <w:rPr>
          <w:rFonts w:cstheme="minorHAnsi"/>
          <w:color w:val="18131F"/>
          <w:w w:val="105"/>
        </w:rPr>
        <w:t xml:space="preserve"> be ta</w:t>
      </w:r>
      <w:r w:rsidRPr="003D34D4">
        <w:rPr>
          <w:rFonts w:cstheme="minorHAnsi"/>
          <w:color w:val="1A183D"/>
          <w:w w:val="105"/>
        </w:rPr>
        <w:t>k</w:t>
      </w:r>
      <w:r w:rsidRPr="003D34D4">
        <w:rPr>
          <w:rFonts w:cstheme="minorHAnsi"/>
          <w:color w:val="18131F"/>
          <w:w w:val="105"/>
        </w:rPr>
        <w:t xml:space="preserve">en to a </w:t>
      </w:r>
      <w:r w:rsidRPr="003D34D4">
        <w:rPr>
          <w:rFonts w:cstheme="minorHAnsi"/>
          <w:color w:val="000101"/>
          <w:w w:val="105"/>
        </w:rPr>
        <w:t>r</w:t>
      </w:r>
      <w:r w:rsidRPr="003D34D4">
        <w:rPr>
          <w:rFonts w:cstheme="minorHAnsi"/>
          <w:color w:val="18131F"/>
          <w:w w:val="105"/>
        </w:rPr>
        <w:t>ecycl</w:t>
      </w:r>
      <w:r w:rsidRPr="003D34D4">
        <w:rPr>
          <w:rFonts w:cstheme="minorHAnsi"/>
          <w:color w:val="461F1F"/>
          <w:w w:val="105"/>
        </w:rPr>
        <w:t>i</w:t>
      </w:r>
      <w:r w:rsidRPr="003D34D4">
        <w:rPr>
          <w:rFonts w:cstheme="minorHAnsi"/>
          <w:color w:val="18131F"/>
          <w:w w:val="105"/>
        </w:rPr>
        <w:t>ng faci</w:t>
      </w:r>
      <w:r w:rsidRPr="003D34D4">
        <w:rPr>
          <w:rFonts w:cstheme="minorHAnsi"/>
          <w:color w:val="1A183D"/>
          <w:w w:val="105"/>
        </w:rPr>
        <w:t>li</w:t>
      </w:r>
      <w:r w:rsidRPr="003D34D4">
        <w:rPr>
          <w:rFonts w:cstheme="minorHAnsi"/>
          <w:color w:val="18131F"/>
          <w:w w:val="105"/>
        </w:rPr>
        <w:t xml:space="preserve">ty that accepts carpet for </w:t>
      </w:r>
      <w:r w:rsidRPr="003D34D4">
        <w:rPr>
          <w:rFonts w:cstheme="minorHAnsi"/>
          <w:color w:val="000101"/>
          <w:w w:val="105"/>
        </w:rPr>
        <w:t>r</w:t>
      </w:r>
      <w:r w:rsidRPr="003D34D4">
        <w:rPr>
          <w:rFonts w:cstheme="minorHAnsi"/>
          <w:color w:val="18131F"/>
          <w:w w:val="105"/>
        </w:rPr>
        <w:t>ecycl</w:t>
      </w:r>
      <w:r w:rsidRPr="003D34D4">
        <w:rPr>
          <w:rFonts w:cstheme="minorHAnsi"/>
          <w:color w:val="1A183D"/>
          <w:w w:val="105"/>
        </w:rPr>
        <w:t>i</w:t>
      </w:r>
      <w:r w:rsidRPr="003D34D4">
        <w:rPr>
          <w:rFonts w:cstheme="minorHAnsi"/>
          <w:color w:val="18131F"/>
          <w:w w:val="105"/>
        </w:rPr>
        <w:t>ng un</w:t>
      </w:r>
      <w:r w:rsidRPr="003D34D4">
        <w:rPr>
          <w:rFonts w:cstheme="minorHAnsi"/>
          <w:color w:val="1A3657"/>
          <w:w w:val="105"/>
        </w:rPr>
        <w:t>l</w:t>
      </w:r>
      <w:r w:rsidRPr="003D34D4">
        <w:rPr>
          <w:rFonts w:cstheme="minorHAnsi"/>
          <w:color w:val="18131F"/>
          <w:w w:val="105"/>
        </w:rPr>
        <w:t>ess othe</w:t>
      </w:r>
      <w:r w:rsidRPr="003D34D4">
        <w:rPr>
          <w:rFonts w:cstheme="minorHAnsi"/>
          <w:color w:val="000101"/>
          <w:w w:val="105"/>
        </w:rPr>
        <w:t>r</w:t>
      </w:r>
      <w:r w:rsidRPr="003D34D4">
        <w:rPr>
          <w:rFonts w:cstheme="minorHAnsi"/>
          <w:color w:val="2B2436"/>
          <w:w w:val="105"/>
        </w:rPr>
        <w:t xml:space="preserve">wise </w:t>
      </w:r>
      <w:r w:rsidRPr="003D34D4">
        <w:rPr>
          <w:rFonts w:cstheme="minorHAnsi"/>
          <w:color w:val="000101"/>
          <w:w w:val="105"/>
        </w:rPr>
        <w:t>r</w:t>
      </w:r>
      <w:r w:rsidRPr="003D34D4">
        <w:rPr>
          <w:rFonts w:cstheme="minorHAnsi"/>
          <w:color w:val="18131F"/>
          <w:w w:val="105"/>
        </w:rPr>
        <w:t>equ</w:t>
      </w:r>
      <w:r w:rsidRPr="003D34D4">
        <w:rPr>
          <w:rFonts w:cstheme="minorHAnsi"/>
          <w:color w:val="461F1F"/>
          <w:w w:val="105"/>
        </w:rPr>
        <w:t>i</w:t>
      </w:r>
      <w:r w:rsidRPr="003D34D4">
        <w:rPr>
          <w:rFonts w:cstheme="minorHAnsi"/>
          <w:color w:val="18131F"/>
          <w:w w:val="105"/>
        </w:rPr>
        <w:t xml:space="preserve">red by </w:t>
      </w:r>
      <w:r w:rsidRPr="003D34D4">
        <w:rPr>
          <w:rFonts w:cstheme="minorHAnsi"/>
          <w:color w:val="1A183D"/>
          <w:w w:val="105"/>
        </w:rPr>
        <w:t>l</w:t>
      </w:r>
      <w:r w:rsidRPr="003D34D4">
        <w:rPr>
          <w:rFonts w:cstheme="minorHAnsi"/>
          <w:color w:val="18131F"/>
          <w:w w:val="105"/>
        </w:rPr>
        <w:t>aw. Recycl</w:t>
      </w:r>
      <w:r w:rsidRPr="003D34D4">
        <w:rPr>
          <w:rFonts w:cstheme="minorHAnsi"/>
          <w:color w:val="461F1F"/>
          <w:w w:val="105"/>
        </w:rPr>
        <w:t>i</w:t>
      </w:r>
      <w:r w:rsidRPr="003D34D4">
        <w:rPr>
          <w:rFonts w:cstheme="minorHAnsi"/>
          <w:color w:val="18131F"/>
          <w:w w:val="105"/>
        </w:rPr>
        <w:t>ng means turn</w:t>
      </w:r>
      <w:r w:rsidRPr="003D34D4">
        <w:rPr>
          <w:rFonts w:cstheme="minorHAnsi"/>
          <w:color w:val="461F1F"/>
          <w:w w:val="105"/>
        </w:rPr>
        <w:t>i</w:t>
      </w:r>
      <w:r w:rsidRPr="003D34D4">
        <w:rPr>
          <w:rFonts w:cstheme="minorHAnsi"/>
          <w:color w:val="18131F"/>
          <w:w w:val="105"/>
        </w:rPr>
        <w:t>ng any manufactu</w:t>
      </w:r>
      <w:r w:rsidRPr="003D34D4">
        <w:rPr>
          <w:rFonts w:cstheme="minorHAnsi"/>
          <w:color w:val="000101"/>
          <w:w w:val="105"/>
        </w:rPr>
        <w:t>r</w:t>
      </w:r>
      <w:r w:rsidRPr="003D34D4">
        <w:rPr>
          <w:rFonts w:cstheme="minorHAnsi"/>
          <w:color w:val="18131F"/>
          <w:w w:val="105"/>
        </w:rPr>
        <w:t>er’s o</w:t>
      </w:r>
      <w:r w:rsidRPr="003D34D4">
        <w:rPr>
          <w:rFonts w:cstheme="minorHAnsi"/>
          <w:color w:val="1A3657"/>
          <w:w w:val="105"/>
        </w:rPr>
        <w:t>l</w:t>
      </w:r>
      <w:r w:rsidRPr="003D34D4">
        <w:rPr>
          <w:rFonts w:cstheme="minorHAnsi"/>
          <w:color w:val="18131F"/>
          <w:w w:val="105"/>
        </w:rPr>
        <w:t>d carpet or ca</w:t>
      </w:r>
      <w:r w:rsidRPr="003D34D4">
        <w:rPr>
          <w:rFonts w:cstheme="minorHAnsi"/>
          <w:color w:val="000101"/>
          <w:w w:val="105"/>
        </w:rPr>
        <w:t>r</w:t>
      </w:r>
      <w:r w:rsidRPr="003D34D4">
        <w:rPr>
          <w:rFonts w:cstheme="minorHAnsi"/>
          <w:color w:val="18131F"/>
          <w:w w:val="105"/>
        </w:rPr>
        <w:t xml:space="preserve">pet components </w:t>
      </w:r>
      <w:r w:rsidRPr="003D34D4">
        <w:rPr>
          <w:rFonts w:cstheme="minorHAnsi"/>
          <w:color w:val="1A3657"/>
          <w:w w:val="105"/>
        </w:rPr>
        <w:t>i</w:t>
      </w:r>
      <w:r w:rsidRPr="003D34D4">
        <w:rPr>
          <w:rFonts w:cstheme="minorHAnsi"/>
          <w:color w:val="18131F"/>
          <w:w w:val="105"/>
        </w:rPr>
        <w:t>nto new carpet or other consumer products.</w:t>
      </w:r>
      <w:r w:rsidRPr="003D34D4">
        <w:rPr>
          <w:rFonts w:cstheme="minorHAnsi"/>
        </w:rPr>
        <w:t xml:space="preserve"> </w:t>
      </w:r>
    </w:p>
    <w:p w:rsidR="00847470" w:rsidRPr="00F5450E" w:rsidRDefault="00847470" w:rsidP="00847470">
      <w:pPr>
        <w:pStyle w:val="ListParagraph"/>
        <w:widowControl w:val="0"/>
        <w:numPr>
          <w:ilvl w:val="1"/>
          <w:numId w:val="2"/>
        </w:numPr>
        <w:tabs>
          <w:tab w:val="left" w:pos="1280"/>
          <w:tab w:val="left" w:pos="1281"/>
        </w:tabs>
        <w:autoSpaceDE w:val="0"/>
        <w:autoSpaceDN w:val="0"/>
        <w:spacing w:after="0" w:line="240" w:lineRule="auto"/>
        <w:ind w:left="1170" w:right="476"/>
        <w:contextualSpacing w:val="0"/>
        <w:rPr>
          <w:sz w:val="24"/>
          <w:szCs w:val="24"/>
        </w:rPr>
      </w:pPr>
      <w:r w:rsidRPr="003D34D4">
        <w:rPr>
          <w:rFonts w:cstheme="minorHAnsi"/>
          <w:color w:val="1A183D"/>
          <w:w w:val="105"/>
        </w:rPr>
        <w:t>Contractor shall provide proof of reclamation at Purchaser’s request.</w:t>
      </w:r>
    </w:p>
    <w:p w:rsidR="00847470" w:rsidRPr="000C05EC" w:rsidRDefault="00847470" w:rsidP="00847470">
      <w:pPr>
        <w:pStyle w:val="ListParagraph"/>
        <w:widowControl w:val="0"/>
        <w:numPr>
          <w:ilvl w:val="1"/>
          <w:numId w:val="2"/>
        </w:numPr>
        <w:tabs>
          <w:tab w:val="left" w:pos="1280"/>
          <w:tab w:val="left" w:pos="1281"/>
        </w:tabs>
        <w:autoSpaceDE w:val="0"/>
        <w:autoSpaceDN w:val="0"/>
        <w:spacing w:after="0" w:line="240" w:lineRule="auto"/>
        <w:ind w:left="1170" w:right="476"/>
        <w:contextualSpacing w:val="0"/>
        <w:rPr>
          <w:sz w:val="24"/>
          <w:szCs w:val="24"/>
        </w:rPr>
      </w:pPr>
      <w:r>
        <w:rPr>
          <w:rFonts w:cstheme="minorHAnsi"/>
          <w:color w:val="1A183D"/>
          <w:w w:val="105"/>
        </w:rPr>
        <w:t xml:space="preserve">For more information please see clause 5.15 of the Contract. </w:t>
      </w:r>
    </w:p>
    <w:p w:rsidR="00847470" w:rsidRDefault="00847470" w:rsidP="00847470">
      <w:pPr>
        <w:spacing w:after="0" w:line="240" w:lineRule="auto"/>
      </w:pPr>
    </w:p>
    <w:sectPr w:rsidR="008474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70" w:rsidRDefault="00847470" w:rsidP="00847470">
      <w:pPr>
        <w:spacing w:after="0" w:line="240" w:lineRule="auto"/>
      </w:pPr>
      <w:r>
        <w:separator/>
      </w:r>
    </w:p>
  </w:endnote>
  <w:endnote w:type="continuationSeparator" w:id="0">
    <w:p w:rsidR="00847470" w:rsidRDefault="00847470" w:rsidP="0084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70" w:rsidRDefault="00847470" w:rsidP="00847470">
      <w:pPr>
        <w:spacing w:after="0" w:line="240" w:lineRule="auto"/>
      </w:pPr>
      <w:r>
        <w:separator/>
      </w:r>
    </w:p>
  </w:footnote>
  <w:footnote w:type="continuationSeparator" w:id="0">
    <w:p w:rsidR="00847470" w:rsidRDefault="00847470" w:rsidP="00847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0" w:rsidRDefault="00847470">
    <w:pPr>
      <w:pStyle w:val="Header"/>
    </w:pPr>
    <w:r>
      <w:rPr>
        <w:noProof/>
      </w:rPr>
      <w:drawing>
        <wp:inline distT="0" distB="0" distL="0" distR="0" wp14:anchorId="37BC9591" wp14:editId="58C29D16">
          <wp:extent cx="2257425" cy="380160"/>
          <wp:effectExtent l="0" t="0" r="0" b="1270"/>
          <wp:docPr id="8" name="Picture 2" descr="DES logo" titl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8D"/>
    <w:multiLevelType w:val="hybridMultilevel"/>
    <w:tmpl w:val="551EB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0F5"/>
    <w:multiLevelType w:val="hybridMultilevel"/>
    <w:tmpl w:val="CE760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AF4B60"/>
    <w:multiLevelType w:val="hybridMultilevel"/>
    <w:tmpl w:val="01C8CA34"/>
    <w:lvl w:ilvl="0" w:tplc="73027914">
      <w:start w:val="1"/>
      <w:numFmt w:val="upperLetter"/>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5508"/>
    <w:multiLevelType w:val="hybridMultilevel"/>
    <w:tmpl w:val="EBFCD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34F38"/>
    <w:multiLevelType w:val="hybridMultilevel"/>
    <w:tmpl w:val="BBD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77A"/>
    <w:multiLevelType w:val="multilevel"/>
    <w:tmpl w:val="49F2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9135A"/>
    <w:multiLevelType w:val="hybridMultilevel"/>
    <w:tmpl w:val="2F5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4AED"/>
    <w:multiLevelType w:val="hybridMultilevel"/>
    <w:tmpl w:val="44F6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073FA1"/>
    <w:multiLevelType w:val="hybridMultilevel"/>
    <w:tmpl w:val="755E3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907BC7"/>
    <w:multiLevelType w:val="hybridMultilevel"/>
    <w:tmpl w:val="7528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8"/>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70"/>
    <w:rsid w:val="00487F58"/>
    <w:rsid w:val="00847470"/>
    <w:rsid w:val="00A3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660A-4608-4BD8-BD4C-26FEBBF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847470"/>
    <w:pPr>
      <w:ind w:left="720"/>
      <w:contextualSpacing/>
    </w:pPr>
  </w:style>
  <w:style w:type="character" w:styleId="Hyperlink">
    <w:name w:val="Hyperlink"/>
    <w:basedOn w:val="DefaultParagraphFont"/>
    <w:uiPriority w:val="99"/>
    <w:unhideWhenUsed/>
    <w:rsid w:val="00847470"/>
    <w:rPr>
      <w:color w:val="0563C1" w:themeColor="hyperlink"/>
      <w:u w:val="single"/>
    </w:rPr>
  </w:style>
  <w:style w:type="character" w:customStyle="1" w:styleId="ListParagraphChar">
    <w:name w:val="List Paragraph Char"/>
    <w:aliases w:val="Bullet List Char,numbered Char,FooterText Char"/>
    <w:link w:val="ListParagraph"/>
    <w:uiPriority w:val="34"/>
    <w:locked/>
    <w:rsid w:val="00847470"/>
  </w:style>
  <w:style w:type="paragraph" w:styleId="Header">
    <w:name w:val="header"/>
    <w:basedOn w:val="Normal"/>
    <w:link w:val="HeaderChar"/>
    <w:uiPriority w:val="99"/>
    <w:unhideWhenUsed/>
    <w:rsid w:val="0084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0"/>
  </w:style>
  <w:style w:type="paragraph" w:styleId="Footer">
    <w:name w:val="footer"/>
    <w:basedOn w:val="Normal"/>
    <w:link w:val="FooterChar"/>
    <w:uiPriority w:val="99"/>
    <w:unhideWhenUsed/>
    <w:rsid w:val="0084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2639</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Leslie (DES)</dc:creator>
  <cp:keywords/>
  <dc:description/>
  <cp:lastModifiedBy>Edwards, Leslie (DES)</cp:lastModifiedBy>
  <cp:revision>2</cp:revision>
  <dcterms:created xsi:type="dcterms:W3CDTF">2021-10-05T21:20:00Z</dcterms:created>
  <dcterms:modified xsi:type="dcterms:W3CDTF">2021-10-05T21:20:00Z</dcterms:modified>
</cp:coreProperties>
</file>