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4EB58287" w:rsidR="00E027B4" w:rsidRDefault="00F0646D" w:rsidP="00EE729D">
      <w:pPr>
        <w:pStyle w:val="Heading1"/>
      </w:pPr>
      <w:r>
        <w:t>02520</w:t>
      </w:r>
      <w:r w:rsidR="00E027B4">
        <w:t xml:space="preserve"> – </w:t>
      </w:r>
      <w:r>
        <w:t>Manlifts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2126D77F" w14:textId="77777777" w:rsidR="005C17E9" w:rsidRPr="00F0646D" w:rsidRDefault="005C17E9" w:rsidP="00F0646D">
      <w:pPr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AA3F0B">
      <w:pPr>
        <w:pStyle w:val="ListParagraph"/>
        <w:numPr>
          <w:ilvl w:val="0"/>
          <w:numId w:val="1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6F83B1D7" w14:textId="3443881D" w:rsidR="00877461" w:rsidRDefault="0000155B" w:rsidP="00F0646D">
      <w:pPr>
        <w:pStyle w:val="ListParagraph"/>
        <w:ind w:left="360"/>
        <w:jc w:val="both"/>
        <w:rPr>
          <w:rFonts w:cs="Arial"/>
        </w:rPr>
      </w:pPr>
      <w:r w:rsidRPr="0000155B">
        <w:rPr>
          <w:rFonts w:cs="Arial"/>
        </w:rPr>
        <w:t>This contract has multiple awarded contractors to provide goods</w:t>
      </w:r>
      <w:r w:rsidR="00F0646D">
        <w:rPr>
          <w:rFonts w:cs="Arial"/>
        </w:rPr>
        <w:t xml:space="preserve"> or </w:t>
      </w:r>
      <w:r w:rsidRPr="0000155B">
        <w:rPr>
          <w:rFonts w:cs="Arial"/>
        </w:rPr>
        <w:t>services</w:t>
      </w:r>
      <w:r>
        <w:rPr>
          <w:rFonts w:cs="Arial"/>
        </w:rPr>
        <w:t xml:space="preserve"> in </w:t>
      </w:r>
      <w:r w:rsidRPr="00F0646D">
        <w:rPr>
          <w:rFonts w:cs="Arial"/>
        </w:rPr>
        <w:t>each category</w:t>
      </w:r>
      <w:r w:rsidR="00B751A3">
        <w:rPr>
          <w:rFonts w:cs="Arial"/>
        </w:rPr>
        <w:t xml:space="preserve"> and region</w:t>
      </w:r>
      <w:r w:rsidR="00F0646D" w:rsidRPr="00F0646D">
        <w:rPr>
          <w:rFonts w:cs="Arial"/>
        </w:rPr>
        <w:t>.</w:t>
      </w:r>
      <w:r w:rsidRPr="00F0646D">
        <w:rPr>
          <w:rFonts w:cs="Arial"/>
        </w:rPr>
        <w:t xml:space="preserve"> </w:t>
      </w:r>
      <w:r w:rsidR="00877461" w:rsidRPr="00F0646D">
        <w:rPr>
          <w:rFonts w:cs="Arial"/>
        </w:rPr>
        <w:t>All contractors went through the competitive solicitation process and were selected to be awarded on this contract as the highest scoring bidders for the specified category</w:t>
      </w:r>
      <w:r w:rsidR="00B751A3">
        <w:rPr>
          <w:rFonts w:cs="Arial"/>
        </w:rPr>
        <w:t xml:space="preserve"> and region</w:t>
      </w:r>
      <w:r w:rsidR="00877461" w:rsidRPr="00F0646D">
        <w:rPr>
          <w:rFonts w:cs="Arial"/>
        </w:rPr>
        <w:t xml:space="preserve">. </w:t>
      </w:r>
      <w:r w:rsidRPr="00F0646D">
        <w:rPr>
          <w:rFonts w:cs="Arial"/>
        </w:rPr>
        <w:t xml:space="preserve">Purchasers may not use a </w:t>
      </w:r>
      <w:r w:rsidR="0013107C" w:rsidRPr="00F0646D">
        <w:rPr>
          <w:rFonts w:cs="Arial"/>
        </w:rPr>
        <w:t>c</w:t>
      </w:r>
      <w:r w:rsidRPr="00F0646D">
        <w:rPr>
          <w:rFonts w:cs="Arial"/>
        </w:rPr>
        <w:t>ontractor to obtain goods</w:t>
      </w:r>
      <w:r w:rsidR="00F0646D" w:rsidRPr="00F0646D">
        <w:rPr>
          <w:rFonts w:cs="Arial"/>
        </w:rPr>
        <w:t xml:space="preserve"> or </w:t>
      </w:r>
      <w:r w:rsidRPr="00F0646D">
        <w:rPr>
          <w:rFonts w:cs="Arial"/>
        </w:rPr>
        <w:t>service</w:t>
      </w:r>
      <w:r w:rsidR="00F0646D" w:rsidRPr="00F0646D">
        <w:rPr>
          <w:rFonts w:cs="Arial"/>
        </w:rPr>
        <w:t>s</w:t>
      </w:r>
      <w:r w:rsidRPr="00F0646D">
        <w:rPr>
          <w:rFonts w:cs="Arial"/>
        </w:rPr>
        <w:t xml:space="preserve"> from a category</w:t>
      </w:r>
      <w:r w:rsidR="00B751A3">
        <w:rPr>
          <w:rFonts w:cs="Arial"/>
        </w:rPr>
        <w:t xml:space="preserve"> or region</w:t>
      </w:r>
      <w:r w:rsidRPr="00F0646D">
        <w:rPr>
          <w:rFonts w:cs="Arial"/>
        </w:rPr>
        <w:t xml:space="preserve"> that was not awarded to that </w:t>
      </w:r>
      <w:r w:rsidR="0013107C" w:rsidRPr="00F0646D">
        <w:rPr>
          <w:rFonts w:cs="Arial"/>
        </w:rPr>
        <w:t>c</w:t>
      </w:r>
      <w:r w:rsidRPr="00F0646D">
        <w:rPr>
          <w:rFonts w:cs="Arial"/>
        </w:rPr>
        <w:t xml:space="preserve">ontractor. All </w:t>
      </w:r>
      <w:r w:rsidR="0013107C" w:rsidRPr="00F0646D">
        <w:rPr>
          <w:rFonts w:cs="Arial"/>
        </w:rPr>
        <w:t>c</w:t>
      </w:r>
      <w:r w:rsidRPr="00F0646D">
        <w:rPr>
          <w:rFonts w:cs="Arial"/>
        </w:rPr>
        <w:t xml:space="preserve">ontractors went through the competitive </w:t>
      </w:r>
      <w:r w:rsidR="00F0133D" w:rsidRPr="00F0646D">
        <w:rPr>
          <w:rFonts w:cs="Arial"/>
        </w:rPr>
        <w:t>solicitation</w:t>
      </w:r>
      <w:r w:rsidRPr="00F0646D">
        <w:rPr>
          <w:rFonts w:cs="Arial"/>
        </w:rPr>
        <w:t xml:space="preserve"> proces</w:t>
      </w:r>
      <w:r w:rsidRPr="0000155B">
        <w:rPr>
          <w:rFonts w:cs="Arial"/>
        </w:rPr>
        <w:t>s and were selected to be awarded on this contract as the highest scoring bidders.</w:t>
      </w:r>
      <w:r w:rsidR="00877461">
        <w:rPr>
          <w:rFonts w:cs="Arial"/>
        </w:rPr>
        <w:t xml:space="preserve"> State of Washington Agency customers are not required to conduct further competition to choose an awarded contractor. Other customers should follow their applicable rules regarding contractor selection.</w:t>
      </w: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28EC894C" w14:textId="487285E9" w:rsidR="00E460C3" w:rsidRPr="00114333" w:rsidRDefault="00E460C3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13D495B3" w14:textId="6F4B1805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contract summary page for information about the winning bid</w:t>
      </w:r>
      <w:r w:rsidR="00E971E3">
        <w:t>s</w:t>
      </w:r>
      <w:r w:rsidR="00E460C3">
        <w:t>, including contractual information, pricing, and any special provisions. In addition,</w:t>
      </w:r>
      <w:r w:rsidR="00E460C3" w:rsidRPr="00F0646D">
        <w:t xml:space="preserve"> </w:t>
      </w:r>
      <w:r w:rsidR="00F0646D" w:rsidRPr="00F0646D">
        <w:t>all</w:t>
      </w:r>
      <w:r w:rsidR="00E460C3" w:rsidRPr="00F0646D">
        <w:t xml:space="preserve"> bids </w:t>
      </w:r>
      <w:r w:rsidR="00F0646D" w:rsidRPr="00F0646D">
        <w:t>in each</w:t>
      </w:r>
      <w:r w:rsidR="008B2167" w:rsidRPr="00F0646D">
        <w:t xml:space="preserve"> category </w:t>
      </w:r>
      <w:r w:rsidR="00E460C3" w:rsidRPr="00F0646D">
        <w:t>a</w:t>
      </w:r>
      <w:r w:rsidR="00E460C3">
        <w:t xml:space="preserve">re available, along with the bid tabulation summarizing </w:t>
      </w:r>
      <w:r>
        <w:t>Enterprise Services’</w:t>
      </w:r>
      <w:r w:rsidR="00E460C3">
        <w:t xml:space="preserve"> evaluation and scores for each </w:t>
      </w:r>
      <w:r w:rsidR="00A56010">
        <w:t>c</w:t>
      </w:r>
      <w:r w:rsidR="00E460C3">
        <w:t xml:space="preserve">ontractor.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r w:rsidR="2989FC9A">
        <w:t>are able</w:t>
      </w:r>
      <w:r w:rsidR="00873FD0">
        <w:t xml:space="preserve"> to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0BC0E61E" w14:textId="77777777" w:rsidR="000A103C" w:rsidRPr="00114333" w:rsidRDefault="000A103C" w:rsidP="00114333">
      <w:pPr>
        <w:jc w:val="both"/>
        <w:rPr>
          <w:rFonts w:cs="Arial"/>
          <w:b/>
        </w:rPr>
      </w:pPr>
    </w:p>
    <w:p w14:paraId="413B0BFF" w14:textId="02D7D51A" w:rsidR="0054058F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04A28E7A" w14:textId="77777777" w:rsidR="008E286B" w:rsidRPr="0054058F" w:rsidRDefault="008E286B" w:rsidP="008E286B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</w:rPr>
      </w:pPr>
      <w:r w:rsidRPr="724CDABC">
        <w:rPr>
          <w:rFonts w:cs="Arial"/>
          <w:b/>
          <w:bCs/>
        </w:rPr>
        <w:t>Washington State Agencies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6B408FC5" w14:textId="77777777" w:rsidR="008E286B" w:rsidRDefault="008E286B" w:rsidP="008E286B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</w:rPr>
      </w:pPr>
      <w:r w:rsidRPr="00713641">
        <w:rPr>
          <w:rFonts w:cs="Arial"/>
          <w:b/>
          <w:bCs/>
        </w:rPr>
        <w:t>Washington State Institutions of Higher Education (Colleges).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</w:p>
    <w:p w14:paraId="26D87446" w14:textId="77777777" w:rsidR="008E286B" w:rsidRDefault="008E286B" w:rsidP="008E286B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State universities</w:t>
      </w:r>
      <w:r w:rsidRPr="0054058F">
        <w:rPr>
          <w:rFonts w:cs="Arial"/>
        </w:rPr>
        <w:t xml:space="preserve"> – i.e., University of Washington &amp; Washington State University</w:t>
      </w:r>
    </w:p>
    <w:p w14:paraId="58F17712" w14:textId="77777777" w:rsidR="008E286B" w:rsidRDefault="008E286B" w:rsidP="008E286B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Regional universities</w:t>
      </w:r>
      <w:r w:rsidRPr="0054058F">
        <w:rPr>
          <w:rFonts w:cs="Arial"/>
        </w:rPr>
        <w:t xml:space="preserve"> – i.e., Central Washington University, Eastern Washington University, &amp; Western Washington University</w:t>
      </w:r>
    </w:p>
    <w:p w14:paraId="4271DEFB" w14:textId="77777777" w:rsidR="008E286B" w:rsidRPr="00FA0B2B" w:rsidRDefault="008E286B" w:rsidP="008E286B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Evergreen State College</w:t>
      </w:r>
    </w:p>
    <w:p w14:paraId="25841D2D" w14:textId="77777777" w:rsidR="008E286B" w:rsidRPr="00FA0B2B" w:rsidRDefault="008E286B" w:rsidP="008E286B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 xml:space="preserve">Community colleges </w:t>
      </w:r>
    </w:p>
    <w:p w14:paraId="58600097" w14:textId="77777777" w:rsidR="008E286B" w:rsidRPr="00FA0B2B" w:rsidRDefault="008E286B" w:rsidP="008E286B">
      <w:pPr>
        <w:pStyle w:val="ListParagraph"/>
        <w:numPr>
          <w:ilvl w:val="1"/>
          <w:numId w:val="4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Technical colleges</w:t>
      </w:r>
    </w:p>
    <w:p w14:paraId="7603985D" w14:textId="77777777" w:rsidR="008E286B" w:rsidRPr="00FA0B2B" w:rsidRDefault="008E286B" w:rsidP="008E286B">
      <w:pPr>
        <w:pStyle w:val="ListParagraph"/>
        <w:numPr>
          <w:ilvl w:val="0"/>
          <w:numId w:val="4"/>
        </w:numPr>
        <w:spacing w:after="120"/>
        <w:jc w:val="both"/>
        <w:rPr>
          <w:rFonts w:cs="Arial"/>
        </w:rPr>
      </w:pPr>
      <w:r w:rsidRPr="00FA0B2B">
        <w:rPr>
          <w:rFonts w:cs="Arial"/>
          <w:b/>
          <w:bCs/>
        </w:rPr>
        <w:t>CUA Parties</w:t>
      </w:r>
      <w:r w:rsidRPr="00FA0B2B">
        <w:rPr>
          <w:rFonts w:cs="Arial"/>
        </w:rPr>
        <w:t xml:space="preserve">. Any of the following types of entities that have executed a </w:t>
      </w:r>
      <w:hyperlink r:id="rId11" w:history="1">
        <w:r w:rsidRPr="00FA0B2B">
          <w:rPr>
            <w:rStyle w:val="Hyperlink"/>
            <w:rFonts w:cs="Arial"/>
          </w:rPr>
          <w:t>Contract Usage Agreement</w:t>
        </w:r>
      </w:hyperlink>
      <w:r w:rsidRPr="00FA0B2B">
        <w:rPr>
          <w:rFonts w:cs="Arial"/>
        </w:rPr>
        <w:t xml:space="preserve"> with Enterprise Services: Political subdivisions (e.g., counties, cities, school districts, public utility districts, ports) in the State of Washington; Federal governmental agencies or entities; Public-benefit nonprofit corporations (i.e., public benefit nonprofit corporations as defined in RCW 24.03A.245 who receive federal, </w:t>
      </w:r>
      <w:r w:rsidRPr="00FA0B2B">
        <w:rPr>
          <w:rFonts w:cs="Arial"/>
        </w:rPr>
        <w:lastRenderedPageBreak/>
        <w:t>state, or local funding); and Federally-recognized Indian Tribes located in the State of Washington.</w:t>
      </w:r>
      <w:r w:rsidRPr="000B0F74">
        <w:t xml:space="preserve"> </w:t>
      </w:r>
      <w:r w:rsidRPr="00C7419A">
        <w:t xml:space="preserve">Enterprise Services maintains a list of eligible Contract Usage Agreement parties on the </w:t>
      </w:r>
      <w:hyperlink r:id="rId12" w:history="1">
        <w:r w:rsidRPr="00FA0B2B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02F91D20" w14:textId="77777777" w:rsidR="008E286B" w:rsidRPr="00EC617F" w:rsidRDefault="008E286B" w:rsidP="008E286B">
      <w:pPr>
        <w:pStyle w:val="ListParagraph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  <w:b/>
          <w:bCs/>
        </w:rPr>
        <w:t>ORCPP Members</w:t>
      </w:r>
      <w:r w:rsidRPr="00C7419A">
        <w:t>.</w:t>
      </w:r>
      <w:r w:rsidRPr="00C7419A">
        <w:rPr>
          <w:rFonts w:cs="Arial"/>
        </w:rPr>
        <w:t xml:space="preserve"> A</w:t>
      </w:r>
      <w:r>
        <w:rPr>
          <w:rFonts w:cs="Arial"/>
        </w:rPr>
        <w:t>ll Oregon Cooperative Purchasing Program (ORCPP) Members. Note that ORCPP Members do not include Oregon state agencies subject to the Oregon Department of Administrative Services’ procurement authority.</w:t>
      </w:r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28581F74" w14:textId="42659415" w:rsidR="008D61A9" w:rsidRDefault="00FE6D60" w:rsidP="00FE6D60">
      <w:pPr>
        <w:keepNext/>
        <w:ind w:firstLine="360"/>
        <w:jc w:val="both"/>
        <w:rPr>
          <w:rFonts w:cs="Arial"/>
        </w:rPr>
      </w:pPr>
      <w:r>
        <w:rPr>
          <w:rFonts w:cs="Arial"/>
        </w:rPr>
        <w:t>Pricing structure for manlifts (category 2) is a set percentage off MSRP.</w:t>
      </w:r>
    </w:p>
    <w:p w14:paraId="5D93CFD5" w14:textId="35B89A8D" w:rsidR="00FE6D60" w:rsidRDefault="00FE6D60" w:rsidP="00FE6D60">
      <w:pPr>
        <w:keepNext/>
        <w:ind w:firstLine="360"/>
        <w:jc w:val="both"/>
        <w:rPr>
          <w:rFonts w:cs="Arial"/>
        </w:rPr>
      </w:pPr>
      <w:bookmarkStart w:id="6" w:name="_Hlk193890512"/>
      <w:r>
        <w:rPr>
          <w:rFonts w:cs="Arial"/>
        </w:rPr>
        <w:t>Pricing structure for maintenance services (category 3) is a</w:t>
      </w:r>
      <w:r w:rsidR="00D213FA">
        <w:rPr>
          <w:rFonts w:cs="Arial"/>
        </w:rPr>
        <w:t xml:space="preserve"> not-to-exceed</w:t>
      </w:r>
      <w:r>
        <w:rPr>
          <w:rFonts w:cs="Arial"/>
        </w:rPr>
        <w:t xml:space="preserve"> hourly rate.</w:t>
      </w:r>
    </w:p>
    <w:bookmarkEnd w:id="6"/>
    <w:p w14:paraId="3A7120B1" w14:textId="77777777" w:rsidR="00FE6D60" w:rsidRPr="00496A56" w:rsidRDefault="00FE6D60" w:rsidP="00FE6D60">
      <w:pPr>
        <w:keepNext/>
        <w:ind w:firstLine="360"/>
        <w:jc w:val="both"/>
        <w:rPr>
          <w:rFonts w:cs="Arial"/>
        </w:rPr>
      </w:pPr>
    </w:p>
    <w:p w14:paraId="699B11B8" w14:textId="29EDE00F" w:rsidR="00A56010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7" w:name="FAQ_7"/>
      <w:bookmarkEnd w:id="7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749ABFD9" w14:textId="4B712FE4" w:rsidR="008D61A9" w:rsidRDefault="00FE6D60" w:rsidP="00AA3F0B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A3F0B">
        <w:rPr>
          <w:rFonts w:cs="Arial"/>
          <w:u w:val="single"/>
        </w:rPr>
        <w:t>Price Ceiling</w:t>
      </w:r>
      <w:r w:rsidRPr="00B751A3">
        <w:rPr>
          <w:rFonts w:cs="Arial"/>
        </w:rPr>
        <w:t xml:space="preserve">: although contractors may offer greater discounts to purchasers, during the term of this contract, contractors </w:t>
      </w:r>
      <w:r w:rsidR="00B751A3" w:rsidRPr="00B751A3">
        <w:rPr>
          <w:rFonts w:cs="Arial"/>
        </w:rPr>
        <w:t>guarantee</w:t>
      </w:r>
      <w:r w:rsidRPr="00B751A3">
        <w:rPr>
          <w:rFonts w:cs="Arial"/>
        </w:rPr>
        <w:t xml:space="preserve"> to provide manlifts and/or maintenance services at the percentage discount and/or hourly rate set forth in </w:t>
      </w:r>
      <w:r w:rsidRPr="00B751A3">
        <w:rPr>
          <w:rFonts w:cs="Arial"/>
          <w:i/>
          <w:iCs/>
        </w:rPr>
        <w:t xml:space="preserve">Exhibit </w:t>
      </w:r>
      <w:r w:rsidR="00B751A3" w:rsidRPr="00B751A3">
        <w:rPr>
          <w:rFonts w:cs="Arial"/>
          <w:i/>
          <w:iCs/>
        </w:rPr>
        <w:t>A</w:t>
      </w:r>
      <w:r w:rsidRPr="00B751A3">
        <w:rPr>
          <w:rFonts w:cs="Arial"/>
          <w:i/>
          <w:iCs/>
        </w:rPr>
        <w:t xml:space="preserve"> – </w:t>
      </w:r>
      <w:r w:rsidR="00B751A3" w:rsidRPr="00B751A3">
        <w:rPr>
          <w:rFonts w:cs="Arial"/>
          <w:i/>
          <w:iCs/>
        </w:rPr>
        <w:t>Pricing</w:t>
      </w:r>
      <w:r w:rsidRPr="00B751A3">
        <w:rPr>
          <w:rFonts w:cs="Arial"/>
        </w:rPr>
        <w:t>.</w:t>
      </w:r>
    </w:p>
    <w:p w14:paraId="059576DE" w14:textId="2CD0165E" w:rsidR="00B751A3" w:rsidRDefault="00B751A3" w:rsidP="00AA3F0B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A3F0B">
        <w:rPr>
          <w:rFonts w:cs="Arial"/>
          <w:u w:val="single"/>
        </w:rPr>
        <w:t>Representations and Warranties</w:t>
      </w:r>
      <w:r w:rsidRPr="00B751A3">
        <w:rPr>
          <w:rFonts w:cs="Arial"/>
        </w:rPr>
        <w:t>: as listed in section 4 of the contract.</w:t>
      </w:r>
    </w:p>
    <w:p w14:paraId="08A17C35" w14:textId="6B2DB842" w:rsidR="00B751A3" w:rsidRPr="00B751A3" w:rsidRDefault="00AA3F0B" w:rsidP="00AA3F0B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A3F0B">
        <w:rPr>
          <w:rFonts w:cs="Arial"/>
          <w:u w:val="single"/>
        </w:rPr>
        <w:t xml:space="preserve">Quality, </w:t>
      </w:r>
      <w:r w:rsidR="00B751A3" w:rsidRPr="00AA3F0B">
        <w:rPr>
          <w:rFonts w:cs="Arial"/>
          <w:u w:val="single"/>
        </w:rPr>
        <w:t>Warranty and Remedy</w:t>
      </w:r>
      <w:r w:rsidR="00B751A3" w:rsidRPr="00B751A3">
        <w:rPr>
          <w:rFonts w:cs="Arial"/>
        </w:rPr>
        <w:t xml:space="preserve">: </w:t>
      </w:r>
      <w:r w:rsidR="00B751A3">
        <w:rPr>
          <w:rFonts w:cs="Arial"/>
        </w:rPr>
        <w:t xml:space="preserve">all goods and services conform to the requirements in </w:t>
      </w:r>
      <w:r w:rsidR="00B751A3" w:rsidRPr="00AA3F0B">
        <w:rPr>
          <w:rFonts w:cs="Arial"/>
          <w:i/>
          <w:iCs/>
        </w:rPr>
        <w:t>Exhibit B – Performance Requirements</w:t>
      </w:r>
      <w:r>
        <w:rPr>
          <w:rFonts w:cs="Arial"/>
        </w:rPr>
        <w:t>. Other requirements are listed in section 5 of the contract.</w:t>
      </w:r>
      <w:r w:rsidR="00B751A3" w:rsidRPr="00B751A3">
        <w:rPr>
          <w:rFonts w:cs="Arial"/>
        </w:rPr>
        <w:t xml:space="preserve"> </w:t>
      </w:r>
    </w:p>
    <w:p w14:paraId="5BE647F4" w14:textId="78E44CED" w:rsidR="00B751A3" w:rsidRDefault="00B751A3" w:rsidP="00AA3F0B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AA3F0B">
        <w:rPr>
          <w:rFonts w:cs="Arial"/>
          <w:u w:val="single"/>
        </w:rPr>
        <w:t>Safety and Security</w:t>
      </w:r>
      <w:r w:rsidRPr="00B751A3">
        <w:rPr>
          <w:rFonts w:cs="Arial"/>
        </w:rPr>
        <w:t>: contractors will adhere to the requirements as listed in section 6</w:t>
      </w:r>
      <w:r>
        <w:rPr>
          <w:rFonts w:cs="Arial"/>
        </w:rPr>
        <w:t xml:space="preserve"> </w:t>
      </w:r>
      <w:r w:rsidRPr="00B751A3">
        <w:rPr>
          <w:rFonts w:cs="Arial"/>
        </w:rPr>
        <w:t>of the contract.</w:t>
      </w:r>
    </w:p>
    <w:p w14:paraId="3659430B" w14:textId="373B4C21" w:rsidR="00AA3F0B" w:rsidRPr="00AA3F0B" w:rsidRDefault="00AA3F0B" w:rsidP="00AA3F0B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503C5E">
        <w:rPr>
          <w:rFonts w:cs="Arial"/>
          <w:u w:val="single"/>
        </w:rPr>
        <w:t>Insurance</w:t>
      </w:r>
      <w:r w:rsidRPr="00503C5E">
        <w:rPr>
          <w:rFonts w:cs="Arial"/>
        </w:rPr>
        <w:t xml:space="preserve">: Contractor shall maintain the minimum acceptable limits indicated in </w:t>
      </w:r>
      <w:r w:rsidRPr="00503C5E">
        <w:rPr>
          <w:rFonts w:cs="Arial"/>
          <w:i/>
          <w:iCs/>
        </w:rPr>
        <w:t>Exhibit C - Insurance Requirements</w:t>
      </w:r>
      <w:r w:rsidRPr="00503C5E">
        <w:rPr>
          <w:rFonts w:cs="Arial"/>
        </w:rPr>
        <w:t xml:space="preserve"> of the contract and provide an annual certificate of insurance to show required coverage.</w:t>
      </w:r>
    </w:p>
    <w:p w14:paraId="50DFBE40" w14:textId="77777777" w:rsidR="00B751A3" w:rsidRPr="00B751A3" w:rsidRDefault="00B751A3" w:rsidP="00B751A3">
      <w:pPr>
        <w:jc w:val="both"/>
        <w:rPr>
          <w:rFonts w:cs="Arial"/>
        </w:rPr>
      </w:pPr>
    </w:p>
    <w:p w14:paraId="6FBED693" w14:textId="38F60F56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8" w:name="FAQ_8"/>
      <w:bookmarkEnd w:id="8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makes a determination on developing a new contract that replaces expiring contracts one year before the current contract expires. The solicitations that are currently in development appear on the </w:t>
      </w:r>
      <w:hyperlink r:id="rId13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9" w:name="FAQ_9"/>
      <w:bookmarkEnd w:id="9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0D4839ED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</w:t>
      </w:r>
      <w:r w:rsidR="00542A9A">
        <w:rPr>
          <w:rFonts w:cs="Arial"/>
        </w:rPr>
        <w:t>er</w:t>
      </w:r>
      <w:r w:rsidRPr="7D94BEE5">
        <w:rPr>
          <w:rFonts w:cs="Arial"/>
        </w:rPr>
        <w:t>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4A0C977C" w14:textId="38FAB340" w:rsidR="002C38A8" w:rsidRPr="00496A56" w:rsidRDefault="002C38A8" w:rsidP="00045599">
      <w:pPr>
        <w:jc w:val="both"/>
        <w:rPr>
          <w:rFonts w:cs="Arial"/>
        </w:rPr>
      </w:pPr>
    </w:p>
    <w:p w14:paraId="58C34E3F" w14:textId="77777777" w:rsidR="008D61A9" w:rsidRPr="00496A56" w:rsidRDefault="008D61A9" w:rsidP="006355B8">
      <w:pPr>
        <w:jc w:val="both"/>
        <w:rPr>
          <w:rFonts w:cs="Arial"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0" w:name="FAQ_10"/>
      <w:bookmarkEnd w:id="10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045599">
      <w:pPr>
        <w:pStyle w:val="ListParagraph"/>
        <w:ind w:left="360"/>
      </w:pPr>
      <w:r>
        <w:lastRenderedPageBreak/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4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5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6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629192DF" w14:textId="7618E16E" w:rsidR="008D61A9" w:rsidRPr="00FE6D60" w:rsidRDefault="005E7119" w:rsidP="00FE6D60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7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8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1" w:name="FAQ_11"/>
      <w:bookmarkEnd w:id="11"/>
    </w:p>
    <w:p w14:paraId="05BC725F" w14:textId="4BFAC121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2" w:name="FAQ_12"/>
      <w:bookmarkEnd w:id="12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3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3"/>
      <w:r w:rsidRPr="00A375E7">
        <w:rPr>
          <w:rFonts w:cs="Arial"/>
        </w:rPr>
        <w:t xml:space="preserve"> which has the following general </w:t>
      </w:r>
      <w:hyperlink r:id="rId19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4" w:name="FAQ_13"/>
      <w:bookmarkEnd w:id="14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5" w:name="FAQ_14"/>
      <w:bookmarkEnd w:id="15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AA3F0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6" w:name="FAQ_15"/>
      <w:bookmarkEnd w:id="16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0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1" w:history="1">
        <w:hyperlink r:id="rId22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sectPr w:rsidR="00496A56" w:rsidSect="00114333">
      <w:footerReference w:type="default" r:id="rId23"/>
      <w:headerReference w:type="first" r:id="rId24"/>
      <w:footerReference w:type="first" r:id="rId25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221B37BC" w:rsidR="002D44CF" w:rsidRPr="0074484A" w:rsidRDefault="002D44CF" w:rsidP="0030407E">
    <w:pPr>
      <w:pStyle w:val="Footer"/>
      <w:rPr>
        <w:sz w:val="20"/>
      </w:rPr>
    </w:pPr>
    <w:r>
      <w:rPr>
        <w:sz w:val="20"/>
      </w:rPr>
      <w:t>Contract No.</w:t>
    </w:r>
    <w:r w:rsidR="00FE6D60">
      <w:rPr>
        <w:sz w:val="20"/>
      </w:rPr>
      <w:t xml:space="preserve"> 02520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9C0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7EB8"/>
    <w:multiLevelType w:val="hybridMultilevel"/>
    <w:tmpl w:val="3DEC0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ED6D1C"/>
    <w:multiLevelType w:val="hybridMultilevel"/>
    <w:tmpl w:val="57969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8A336E"/>
    <w:multiLevelType w:val="hybridMultilevel"/>
    <w:tmpl w:val="9A9CBE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735735">
    <w:abstractNumId w:val="3"/>
  </w:num>
  <w:num w:numId="2" w16cid:durableId="734471279">
    <w:abstractNumId w:val="2"/>
  </w:num>
  <w:num w:numId="3" w16cid:durableId="1566260793">
    <w:abstractNumId w:val="1"/>
  </w:num>
  <w:num w:numId="4" w16cid:durableId="189963486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5599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0F19"/>
    <w:rsid w:val="000E1576"/>
    <w:rsid w:val="000E4E7B"/>
    <w:rsid w:val="000F53C5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62D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1F3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017DC"/>
    <w:rsid w:val="0051202E"/>
    <w:rsid w:val="00517E0A"/>
    <w:rsid w:val="00531F7B"/>
    <w:rsid w:val="00540487"/>
    <w:rsid w:val="0054058F"/>
    <w:rsid w:val="00540DD1"/>
    <w:rsid w:val="00542A9A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60F98"/>
    <w:rsid w:val="00673D38"/>
    <w:rsid w:val="00682D0B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46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E160F"/>
    <w:rsid w:val="008E286B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74B0"/>
    <w:rsid w:val="00A375E7"/>
    <w:rsid w:val="00A412E1"/>
    <w:rsid w:val="00A5333D"/>
    <w:rsid w:val="00A56010"/>
    <w:rsid w:val="00A636ED"/>
    <w:rsid w:val="00AA2021"/>
    <w:rsid w:val="00AA3F0B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3B70"/>
    <w:rsid w:val="00B663AD"/>
    <w:rsid w:val="00B6685D"/>
    <w:rsid w:val="00B74029"/>
    <w:rsid w:val="00B751A3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6015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13FA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526FB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0646D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E6D6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PlannedProcurement" TargetMode="External"/><Relationship Id="rId18" Type="http://schemas.openxmlformats.org/officeDocument/2006/relationships/hyperlink" Target="https://des.wa.gov/sell/bid-opportuniti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a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https://des.wa.gov/sell/how-work-stat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WEBSCustomerService@des.wa.gov" TargetMode="External"/><Relationship Id="rId20" Type="http://schemas.openxmlformats.org/officeDocument/2006/relationships/hyperlink" Target="https://apps.des.wa.gov/DESContracts/Home/MCUAList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MCUAListing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es.wa.gov/sell/how-work-state/register-bid-opportuniti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apps.des.wa.gov/CSR/Vendor_Qtrly_Sales_Rp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-webs-vendor.des.wa.gov/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48D3B-E491-4A8E-906D-A93CC2C73B2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db9e8f5-e773-48b6-ac01-e4d5d934d6b8"/>
    <ds:schemaRef ds:uri="b6afe888-f51a-4c3d-82c6-e39c96fc34b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1173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8725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Connor, Bernadette (DES)</cp:lastModifiedBy>
  <cp:revision>7</cp:revision>
  <cp:lastPrinted>2018-02-01T23:33:00Z</cp:lastPrinted>
  <dcterms:created xsi:type="dcterms:W3CDTF">2025-03-18T18:33:00Z</dcterms:created>
  <dcterms:modified xsi:type="dcterms:W3CDTF">2025-04-15T00:31:00Z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