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DBC0AEB" w:rsidR="00E027B4" w:rsidRDefault="00F22E76" w:rsidP="00E027B4">
      <w:pPr>
        <w:pStyle w:val="Heading1"/>
        <w:pBdr>
          <w:between w:val="single" w:sz="4" w:space="1" w:color="auto"/>
        </w:pBdr>
        <w:spacing w:after="0"/>
      </w:pPr>
      <w:r>
        <w:t>02817</w:t>
      </w:r>
      <w:r w:rsidR="00E027B4">
        <w:t xml:space="preserve">– </w:t>
      </w:r>
      <w:r>
        <w:t>Waterborne Traffic Marking Paint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72EEA39B" w14:textId="3394F67A" w:rsidR="00EA6DC7" w:rsidRDefault="003046E4" w:rsidP="003046E4">
      <w:pPr>
        <w:pStyle w:val="ListParagraph"/>
        <w:ind w:left="360"/>
        <w:rPr>
          <w:rFonts w:cs="Arial"/>
        </w:rPr>
      </w:pPr>
      <w:r>
        <w:rPr>
          <w:rFonts w:cs="Arial"/>
        </w:rPr>
        <w:t>Multiple statewide awards:</w:t>
      </w:r>
      <w:r>
        <w:rPr>
          <w:rFonts w:cs="Arial"/>
        </w:rPr>
        <w:br/>
      </w:r>
      <w:r w:rsidR="00EA6DC7">
        <w:rPr>
          <w:rFonts w:cs="Arial"/>
        </w:rPr>
        <w:t xml:space="preserve">This contract has multiple awarded contractors </w:t>
      </w:r>
      <w:r>
        <w:rPr>
          <w:rFonts w:cs="Arial"/>
        </w:rPr>
        <w:t xml:space="preserve">to provide </w:t>
      </w:r>
      <w:r w:rsidR="00F22E76">
        <w:rPr>
          <w:rFonts w:cs="Arial"/>
        </w:rPr>
        <w:t>waterborn</w:t>
      </w:r>
      <w:r w:rsidR="0088108E">
        <w:rPr>
          <w:rFonts w:cs="Arial"/>
        </w:rPr>
        <w:t>e</w:t>
      </w:r>
      <w:r w:rsidR="00F22E76">
        <w:rPr>
          <w:rFonts w:cs="Arial"/>
        </w:rPr>
        <w:t xml:space="preserve"> traffic marking paint</w:t>
      </w:r>
      <w:r w:rsidR="00EA6DC7">
        <w:rPr>
          <w:rFonts w:cs="Arial"/>
        </w:rPr>
        <w:t>.</w:t>
      </w:r>
      <w:r>
        <w:rPr>
          <w:rFonts w:cs="Arial"/>
        </w:rPr>
        <w:t xml:space="preserve"> Purchasers can select any of the awarded contractors from this contract to provide the </w:t>
      </w:r>
      <w:r w:rsidR="00F22E76">
        <w:rPr>
          <w:rFonts w:cs="Arial"/>
        </w:rPr>
        <w:t>waterborne traffic marking paint</w:t>
      </w:r>
      <w:r>
        <w:rPr>
          <w:rFonts w:cs="Arial"/>
        </w:rPr>
        <w:t>.</w:t>
      </w:r>
      <w:r w:rsidR="00EA6DC7">
        <w:rPr>
          <w:rFonts w:cs="Arial"/>
        </w:rPr>
        <w:t xml:space="preserve"> </w:t>
      </w:r>
      <w:r>
        <w:rPr>
          <w:rFonts w:cs="Arial"/>
        </w:rPr>
        <w:t xml:space="preserve">All Contractors went through the competitive </w:t>
      </w:r>
      <w:r w:rsidR="0088108E">
        <w:rPr>
          <w:rFonts w:cs="Arial"/>
        </w:rPr>
        <w:t>solicitation</w:t>
      </w:r>
      <w:r>
        <w:rPr>
          <w:rFonts w:cs="Arial"/>
        </w:rPr>
        <w:t xml:space="preserve"> process and were selected to be awarded on this contract as the highest scoring bidders.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2" w:name="FAQ_3"/>
      <w:bookmarkStart w:id="3" w:name="FAQ_4"/>
      <w:bookmarkStart w:id="4" w:name="FAQ_5"/>
      <w:bookmarkEnd w:id="2"/>
      <w:bookmarkEnd w:id="3"/>
      <w:bookmarkEnd w:id="4"/>
      <w:r w:rsidRPr="00496A56">
        <w:rPr>
          <w:rFonts w:cs="Arial"/>
        </w:rPr>
        <w:t>Who can (or cannot) use this contract?  Oregon, Tribes, Higher Ed, etc?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Technical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2A76BF9" w14:textId="77777777" w:rsidR="00362204" w:rsidRDefault="00F22E76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Pricing is per gallon.</w:t>
      </w:r>
      <w:r w:rsidR="0088108E">
        <w:rPr>
          <w:rFonts w:cs="Arial"/>
        </w:rPr>
        <w:t xml:space="preserve"> User must inform vendor that they are using Contract 02817 to receive Contract pricing. </w:t>
      </w:r>
    </w:p>
    <w:p w14:paraId="6A9F1AC2" w14:textId="77777777" w:rsidR="00362204" w:rsidRDefault="00362204" w:rsidP="008D61A9">
      <w:pPr>
        <w:pStyle w:val="ListParagraph"/>
        <w:ind w:left="360"/>
        <w:jc w:val="both"/>
        <w:rPr>
          <w:rFonts w:cs="Arial"/>
        </w:rPr>
      </w:pPr>
    </w:p>
    <w:p w14:paraId="5DB5528F" w14:textId="77777777" w:rsidR="00362204" w:rsidRDefault="00362204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Additional allowable fees:</w:t>
      </w:r>
    </w:p>
    <w:p w14:paraId="0DA5AFDB" w14:textId="6D87F5FE" w:rsidR="008D61A9" w:rsidRPr="00496A56" w:rsidRDefault="00362204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Contractors can charge for freight for orders under 980 gallons, this charge would be added to invoices as a separate line item. Contractors may charge a drop fee of $50.00 as a separate line item for second and subsequent drops per individual orders.  These fees are outlined as number 32, 33, and 37 of the specifications worksheet under “Order &amp; Delivery”.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(e.g. quote timeliness, delivery, invoicing)</w:t>
      </w:r>
    </w:p>
    <w:p w14:paraId="4DB0041E" w14:textId="57A6B2F4" w:rsidR="008D61A9" w:rsidRDefault="00F22E76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Each awarded Contractor has their own requirement for tote removal, please review each contract and make inquires directly with the vendor for this service. </w:t>
      </w:r>
    </w:p>
    <w:p w14:paraId="312C3261" w14:textId="079570C2" w:rsidR="00F22E76" w:rsidRDefault="00F22E76" w:rsidP="008D61A9">
      <w:pPr>
        <w:ind w:left="360"/>
        <w:jc w:val="both"/>
        <w:rPr>
          <w:rFonts w:cs="Arial"/>
        </w:rPr>
      </w:pPr>
    </w:p>
    <w:p w14:paraId="34F98E1E" w14:textId="64CDE0A6" w:rsidR="00F22E76" w:rsidRDefault="00F22E76" w:rsidP="0088108E">
      <w:pPr>
        <w:jc w:val="both"/>
        <w:rPr>
          <w:rFonts w:cs="Arial"/>
        </w:rPr>
      </w:pPr>
    </w:p>
    <w:p w14:paraId="493032A5" w14:textId="253E456A" w:rsidR="00F22E76" w:rsidRPr="00496A56" w:rsidRDefault="00F22E76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review the </w:t>
      </w:r>
      <w:hyperlink r:id="rId11" w:history="1">
        <w:r w:rsidRPr="00EE0FD0">
          <w:rPr>
            <w:rStyle w:val="Hyperlink"/>
            <w:rFonts w:cs="Arial"/>
          </w:rPr>
          <w:t>Specifications Worksheet</w:t>
        </w:r>
      </w:hyperlink>
      <w:r>
        <w:rPr>
          <w:rFonts w:cs="Arial"/>
        </w:rPr>
        <w:t xml:space="preserve"> for paint type and </w:t>
      </w:r>
      <w:r w:rsidR="0088108E">
        <w:rPr>
          <w:rFonts w:cs="Arial"/>
        </w:rPr>
        <w:t>specifications</w:t>
      </w:r>
      <w:r>
        <w:rPr>
          <w:rFonts w:cs="Arial"/>
        </w:rPr>
        <w:t xml:space="preserve"> for this Contract.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makes a determination on developing a new contract that replaces expiring contracts one year before the current contract expires. The solicitations that are currently in development appear on the </w:t>
      </w:r>
      <w:hyperlink r:id="rId12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participating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>If there is a Contractor that is not preforming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2E1E3AD2" w14:textId="77777777" w:rsidR="008D61A9" w:rsidRPr="00496A56" w:rsidRDefault="008D61A9" w:rsidP="00EE0FD0">
      <w:pPr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4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5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6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process please contract </w:t>
      </w:r>
      <w:hyperlink r:id="rId17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8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9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0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1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</w:t>
      </w:r>
      <w:r w:rsidRPr="00496A56">
        <w:rPr>
          <w:rFonts w:cs="Arial"/>
        </w:rPr>
        <w:lastRenderedPageBreak/>
        <w:t>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2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3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10B46B53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57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8DF3A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BA484C">
      <w:rPr>
        <w:sz w:val="20"/>
      </w:rPr>
      <w:t>02817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32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3B930A07" w:rsidR="002D44CF" w:rsidRDefault="00D220F7">
    <w:pPr>
      <w:pStyle w:val="Header"/>
    </w:pPr>
    <w:r>
      <w:t>Waterborne Traffic Marking Paint</w:t>
    </w:r>
  </w:p>
  <w:p w14:paraId="12F470DC" w14:textId="77777777" w:rsidR="00D220F7" w:rsidRDefault="00D22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89929">
    <w:abstractNumId w:val="20"/>
  </w:num>
  <w:num w:numId="2" w16cid:durableId="932394084">
    <w:abstractNumId w:val="30"/>
  </w:num>
  <w:num w:numId="3" w16cid:durableId="858391432">
    <w:abstractNumId w:val="39"/>
  </w:num>
  <w:num w:numId="4" w16cid:durableId="42602739">
    <w:abstractNumId w:val="9"/>
  </w:num>
  <w:num w:numId="5" w16cid:durableId="1724329390">
    <w:abstractNumId w:val="2"/>
  </w:num>
  <w:num w:numId="6" w16cid:durableId="414403860">
    <w:abstractNumId w:val="21"/>
  </w:num>
  <w:num w:numId="7" w16cid:durableId="1751271194">
    <w:abstractNumId w:val="38"/>
  </w:num>
  <w:num w:numId="8" w16cid:durableId="894120245">
    <w:abstractNumId w:val="16"/>
  </w:num>
  <w:num w:numId="9" w16cid:durableId="236983749">
    <w:abstractNumId w:val="23"/>
  </w:num>
  <w:num w:numId="10" w16cid:durableId="1485010055">
    <w:abstractNumId w:val="28"/>
  </w:num>
  <w:num w:numId="11" w16cid:durableId="727148327">
    <w:abstractNumId w:val="33"/>
  </w:num>
  <w:num w:numId="12" w16cid:durableId="2072193582">
    <w:abstractNumId w:val="45"/>
  </w:num>
  <w:num w:numId="13" w16cid:durableId="813909453">
    <w:abstractNumId w:val="26"/>
  </w:num>
  <w:num w:numId="14" w16cid:durableId="175854670">
    <w:abstractNumId w:val="24"/>
  </w:num>
  <w:num w:numId="15" w16cid:durableId="1258558598">
    <w:abstractNumId w:val="7"/>
  </w:num>
  <w:num w:numId="16" w16cid:durableId="374501598">
    <w:abstractNumId w:val="6"/>
  </w:num>
  <w:num w:numId="17" w16cid:durableId="1602109123">
    <w:abstractNumId w:val="3"/>
  </w:num>
  <w:num w:numId="18" w16cid:durableId="848452183">
    <w:abstractNumId w:val="22"/>
  </w:num>
  <w:num w:numId="19" w16cid:durableId="1014772278">
    <w:abstractNumId w:val="11"/>
  </w:num>
  <w:num w:numId="20" w16cid:durableId="1624463979">
    <w:abstractNumId w:val="8"/>
  </w:num>
  <w:num w:numId="21" w16cid:durableId="2042392378">
    <w:abstractNumId w:val="32"/>
  </w:num>
  <w:num w:numId="22" w16cid:durableId="217206782">
    <w:abstractNumId w:val="19"/>
  </w:num>
  <w:num w:numId="23" w16cid:durableId="1052733992">
    <w:abstractNumId w:val="0"/>
  </w:num>
  <w:num w:numId="24" w16cid:durableId="1841576909">
    <w:abstractNumId w:val="29"/>
  </w:num>
  <w:num w:numId="25" w16cid:durableId="1863200879">
    <w:abstractNumId w:val="34"/>
  </w:num>
  <w:num w:numId="26" w16cid:durableId="1097943946">
    <w:abstractNumId w:val="5"/>
  </w:num>
  <w:num w:numId="27" w16cid:durableId="342054537">
    <w:abstractNumId w:val="27"/>
  </w:num>
  <w:num w:numId="28" w16cid:durableId="1786079110">
    <w:abstractNumId w:val="36"/>
  </w:num>
  <w:num w:numId="29" w16cid:durableId="3667600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041158">
    <w:abstractNumId w:val="31"/>
  </w:num>
  <w:num w:numId="31" w16cid:durableId="342824980">
    <w:abstractNumId w:val="25"/>
  </w:num>
  <w:num w:numId="32" w16cid:durableId="1127816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6792921">
    <w:abstractNumId w:val="10"/>
  </w:num>
  <w:num w:numId="34" w16cid:durableId="837574732">
    <w:abstractNumId w:val="1"/>
  </w:num>
  <w:num w:numId="35" w16cid:durableId="1109742621">
    <w:abstractNumId w:val="46"/>
  </w:num>
  <w:num w:numId="36" w16cid:durableId="512570256">
    <w:abstractNumId w:val="14"/>
  </w:num>
  <w:num w:numId="37" w16cid:durableId="733358791">
    <w:abstractNumId w:val="4"/>
  </w:num>
  <w:num w:numId="38" w16cid:durableId="2020041789">
    <w:abstractNumId w:val="43"/>
  </w:num>
  <w:num w:numId="39" w16cid:durableId="1146162815">
    <w:abstractNumId w:val="44"/>
  </w:num>
  <w:num w:numId="40" w16cid:durableId="1986007433">
    <w:abstractNumId w:val="15"/>
  </w:num>
  <w:num w:numId="41" w16cid:durableId="2022850012">
    <w:abstractNumId w:val="12"/>
  </w:num>
  <w:num w:numId="42" w16cid:durableId="1630814510">
    <w:abstractNumId w:val="18"/>
  </w:num>
  <w:num w:numId="43" w16cid:durableId="2051296560">
    <w:abstractNumId w:val="41"/>
  </w:num>
  <w:num w:numId="44" w16cid:durableId="529563620">
    <w:abstractNumId w:val="35"/>
  </w:num>
  <w:num w:numId="45" w16cid:durableId="1624582264">
    <w:abstractNumId w:val="42"/>
  </w:num>
  <w:num w:numId="46" w16cid:durableId="59452646">
    <w:abstractNumId w:val="40"/>
  </w:num>
  <w:num w:numId="47" w16cid:durableId="603148424">
    <w:abstractNumId w:val="13"/>
  </w:num>
  <w:num w:numId="48" w16cid:durableId="20299881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26FA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62204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08E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A484C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20F7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0FD0"/>
    <w:rsid w:val="00EE20C7"/>
    <w:rsid w:val="00EE2F5D"/>
    <w:rsid w:val="00EE3676"/>
    <w:rsid w:val="00F03B8F"/>
    <w:rsid w:val="00F12D52"/>
    <w:rsid w:val="00F20C1A"/>
    <w:rsid w:val="00F22E76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ervices/contracting-purchasing/policies-training/resources/environmentally-preferred-purchasing" TargetMode="External"/><Relationship Id="rId18" Type="http://schemas.openxmlformats.org/officeDocument/2006/relationships/hyperlink" Target="https://des.wa.gov/services/contracting-purchasing/doing-business-state/webs-vendor-faq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des.wa.gov/SiteCollectionDocuments/About/Procurement_reform/training/508/QtrlySalesRpting/story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PlannedProcurement" TargetMode="External"/><Relationship Id="rId17" Type="http://schemas.openxmlformats.org/officeDocument/2006/relationships/hyperlink" Target="mailto:WEBSCustomerService@des.wa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vendor-faq" TargetMode="External"/><Relationship Id="rId20" Type="http://schemas.openxmlformats.org/officeDocument/2006/relationships/hyperlink" Target="https://apps.des.wa.gov/CSR/Vendor_Qtrly_Sales_Rp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contracting/02817s_SW.xlsx" TargetMode="External"/><Relationship Id="rId24" Type="http://schemas.openxmlformats.org/officeDocument/2006/relationships/hyperlink" Target="https://des.wa.gov/services/contracting-purchasing/policies-training/resources/environmentally-preferred-purcha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registration-search-tips" TargetMode="External"/><Relationship Id="rId23" Type="http://schemas.openxmlformats.org/officeDocument/2006/relationships/hyperlink" Target="http://access.wa.gov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bid-opportun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-webs-vendor.des.wa.gov/" TargetMode="External"/><Relationship Id="rId22" Type="http://schemas.openxmlformats.org/officeDocument/2006/relationships/hyperlink" Target="https://www.des.wa.gov/services/contracting-purchasing/purchasing/master-contracts-usage-agreemen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b9e8f5-e773-48b6-ac01-e4d5d934d6b8"/>
    <ds:schemaRef ds:uri="http://www.w3.org/XML/1998/namespace"/>
    <ds:schemaRef ds:uri="http://purl.org/dc/dcmitype/"/>
    <ds:schemaRef ds:uri="b6afe888-f51a-4c3d-82c6-e39c96fc34be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7EAC90-4AA2-41C6-907A-A9D92360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2</cp:revision>
  <cp:lastPrinted>2018-02-01T23:33:00Z</cp:lastPrinted>
  <dcterms:created xsi:type="dcterms:W3CDTF">2023-06-15T14:38:00Z</dcterms:created>
  <dcterms:modified xsi:type="dcterms:W3CDTF">2023-06-15T14:38:00Z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