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549B3D83" w:rsidR="00E027B4" w:rsidRDefault="00A237D2" w:rsidP="00E027B4">
      <w:pPr>
        <w:pStyle w:val="Heading1"/>
        <w:pBdr>
          <w:between w:val="single" w:sz="4" w:space="1" w:color="auto"/>
        </w:pBdr>
        <w:spacing w:after="0"/>
      </w:pPr>
      <w:r>
        <w:t>07521</w:t>
      </w:r>
      <w:r w:rsidR="00E027B4">
        <w:t xml:space="preserve"> – </w:t>
      </w:r>
      <w:r>
        <w:t>Street Lights &amp; Poles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3D6E9EA7" w14:textId="76196190" w:rsidR="00EA6DC7" w:rsidRDefault="003046E4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Multiple awards in</w:t>
      </w:r>
      <w:r w:rsidR="00EA6DC7">
        <w:rPr>
          <w:rFonts w:cs="Arial"/>
        </w:rPr>
        <w:t xml:space="preserve"> category </w:t>
      </w:r>
      <w:r>
        <w:rPr>
          <w:rFonts w:cs="Arial"/>
        </w:rPr>
        <w:t>or</w:t>
      </w:r>
      <w:r w:rsidR="00EA6DC7">
        <w:rPr>
          <w:rFonts w:cs="Arial"/>
        </w:rPr>
        <w:t xml:space="preserve"> regio</w:t>
      </w:r>
      <w:r>
        <w:rPr>
          <w:rFonts w:cs="Arial"/>
        </w:rPr>
        <w:t>n:</w:t>
      </w:r>
    </w:p>
    <w:p w14:paraId="5475C483" w14:textId="1CC4AD82" w:rsidR="003046E4" w:rsidRDefault="0000155B" w:rsidP="005E547E">
      <w:pPr>
        <w:pStyle w:val="ListParagraph"/>
        <w:ind w:left="360"/>
        <w:jc w:val="both"/>
        <w:rPr>
          <w:rFonts w:cs="Arial"/>
        </w:rPr>
      </w:pPr>
      <w:r w:rsidRPr="0000155B">
        <w:rPr>
          <w:rFonts w:cs="Arial"/>
        </w:rPr>
        <w:t xml:space="preserve">This contract has multiple awarded contractors to provide </w:t>
      </w:r>
      <w:proofErr w:type="gramStart"/>
      <w:r w:rsidR="00A237D2">
        <w:rPr>
          <w:rFonts w:cs="Arial"/>
        </w:rPr>
        <w:t>street lights</w:t>
      </w:r>
      <w:proofErr w:type="gramEnd"/>
      <w:r w:rsidR="00A237D2">
        <w:rPr>
          <w:rFonts w:cs="Arial"/>
        </w:rPr>
        <w:t xml:space="preserve"> and poles</w:t>
      </w:r>
      <w:r>
        <w:rPr>
          <w:rFonts w:cs="Arial"/>
        </w:rPr>
        <w:t xml:space="preserve"> in each </w:t>
      </w:r>
      <w:r w:rsidR="00A237D2">
        <w:rPr>
          <w:rFonts w:cs="Arial"/>
        </w:rPr>
        <w:t>of the 6 (six) categories</w:t>
      </w:r>
      <w:r w:rsidRPr="0000155B">
        <w:rPr>
          <w:rFonts w:cs="Arial"/>
        </w:rPr>
        <w:t xml:space="preserve">. Purchasers can select any of the awarded contractors </w:t>
      </w:r>
      <w:r>
        <w:rPr>
          <w:rFonts w:cs="Arial"/>
        </w:rPr>
        <w:t xml:space="preserve">for the relevant </w:t>
      </w:r>
      <w:r w:rsidR="00A237D2">
        <w:rPr>
          <w:rFonts w:cs="Arial"/>
        </w:rPr>
        <w:t>category</w:t>
      </w:r>
      <w:r>
        <w:rPr>
          <w:rFonts w:cs="Arial"/>
        </w:rPr>
        <w:t xml:space="preserve"> </w:t>
      </w:r>
      <w:r w:rsidRPr="0000155B">
        <w:rPr>
          <w:rFonts w:cs="Arial"/>
        </w:rPr>
        <w:t xml:space="preserve">from this contract to provide the </w:t>
      </w:r>
      <w:proofErr w:type="gramStart"/>
      <w:r w:rsidR="00A237D2">
        <w:rPr>
          <w:rFonts w:cs="Arial"/>
        </w:rPr>
        <w:t>street lights</w:t>
      </w:r>
      <w:proofErr w:type="gramEnd"/>
      <w:r w:rsidR="00A237D2">
        <w:rPr>
          <w:rFonts w:cs="Arial"/>
        </w:rPr>
        <w:t xml:space="preserve"> and poles</w:t>
      </w:r>
      <w:r w:rsidRPr="0000155B">
        <w:rPr>
          <w:rFonts w:cs="Arial"/>
        </w:rPr>
        <w:t xml:space="preserve">. </w:t>
      </w:r>
      <w:r>
        <w:rPr>
          <w:rFonts w:cs="Arial"/>
        </w:rPr>
        <w:t xml:space="preserve">Purchasers may not use a Contractor to obtain </w:t>
      </w:r>
      <w:proofErr w:type="gramStart"/>
      <w:r w:rsidR="00A237D2">
        <w:rPr>
          <w:rFonts w:cs="Arial"/>
        </w:rPr>
        <w:t>street lights</w:t>
      </w:r>
      <w:proofErr w:type="gramEnd"/>
      <w:r w:rsidR="00A237D2">
        <w:rPr>
          <w:rFonts w:cs="Arial"/>
        </w:rPr>
        <w:t xml:space="preserve"> and poles</w:t>
      </w:r>
      <w:r>
        <w:rPr>
          <w:rFonts w:cs="Arial"/>
        </w:rPr>
        <w:t xml:space="preserve"> from a </w:t>
      </w:r>
      <w:r w:rsidR="00A237D2">
        <w:rPr>
          <w:rFonts w:cs="Arial"/>
        </w:rPr>
        <w:t>category</w:t>
      </w:r>
      <w:r>
        <w:rPr>
          <w:rFonts w:cs="Arial"/>
        </w:rPr>
        <w:t xml:space="preserve"> that was not awarded to that Contractor. </w:t>
      </w:r>
      <w:r w:rsidRPr="0000155B">
        <w:rPr>
          <w:rFonts w:cs="Arial"/>
        </w:rPr>
        <w:t xml:space="preserve">All Contractors went through the competitive </w:t>
      </w:r>
      <w:r w:rsidR="00E70EC5" w:rsidRPr="0000155B">
        <w:rPr>
          <w:rFonts w:cs="Arial"/>
        </w:rPr>
        <w:t>solicitation</w:t>
      </w:r>
      <w:r w:rsidRPr="0000155B">
        <w:rPr>
          <w:rFonts w:cs="Arial"/>
        </w:rPr>
        <w:t xml:space="preserve"> process and were selected to be awarded on this contract as the highest scoring bidders.</w:t>
      </w:r>
    </w:p>
    <w:p w14:paraId="1F3FBA15" w14:textId="6AD27B83" w:rsidR="00A237D2" w:rsidRDefault="00A237D2" w:rsidP="005E547E">
      <w:pPr>
        <w:pStyle w:val="ListParagraph"/>
        <w:ind w:left="360"/>
        <w:jc w:val="both"/>
        <w:rPr>
          <w:rFonts w:cs="Arial"/>
        </w:rPr>
      </w:pPr>
    </w:p>
    <w:p w14:paraId="27D94029" w14:textId="6B8F7CAF" w:rsidR="00A237D2" w:rsidRPr="00A237D2" w:rsidRDefault="00A237D2" w:rsidP="005E547E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A237D2">
        <w:rPr>
          <w:rFonts w:asciiTheme="majorHAnsi" w:hAnsiTheme="majorHAnsi" w:cstheme="majorHAnsi"/>
          <w:shd w:val="clear" w:color="auto" w:fill="FFFFFF"/>
        </w:rPr>
        <w:t>Items in Category 4 are excluded from Category 5. HPS lamps must have low mercury content and markings denoting they have passed the U.S. EPA Toxicity Characteristic Leaching Procedure (TCLP Compliant).</w:t>
      </w:r>
    </w:p>
    <w:p w14:paraId="74280ACC" w14:textId="77777777" w:rsidR="003046E4" w:rsidRDefault="003046E4" w:rsidP="005E547E">
      <w:pPr>
        <w:pStyle w:val="ListParagraph"/>
        <w:ind w:left="360"/>
        <w:jc w:val="both"/>
        <w:rPr>
          <w:rFonts w:cs="Arial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>Who can (or cannot) use this contract?  Oregon, Tribes, Higher Ed, etc?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029507C8" w:rsid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2A582E98" w14:textId="140033C6" w:rsidR="00A237D2" w:rsidRDefault="00A237D2" w:rsidP="00713641">
      <w:pPr>
        <w:pStyle w:val="ListParagraph"/>
        <w:ind w:left="360"/>
        <w:jc w:val="both"/>
        <w:rPr>
          <w:rFonts w:cs="Arial"/>
        </w:rPr>
      </w:pPr>
    </w:p>
    <w:p w14:paraId="66CEE009" w14:textId="196FE6B5" w:rsidR="00A237D2" w:rsidRPr="00713641" w:rsidRDefault="00A237D2" w:rsidP="00713641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Also available to Oregon Cooperative Purchasing Program (ORCPP).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1E54D7EE" w:rsidR="008D61A9" w:rsidRPr="00496A56" w:rsidRDefault="00A237D2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Prices are itemized and identified for both non-Buy America and Federal (Buy America) criteria. Prices are eligible for price </w:t>
      </w:r>
      <w:r w:rsidR="00E70EC5">
        <w:rPr>
          <w:rFonts w:cs="Arial"/>
        </w:rPr>
        <w:t>adjustments</w:t>
      </w:r>
      <w:r>
        <w:rPr>
          <w:rFonts w:cs="Arial"/>
        </w:rPr>
        <w:t xml:space="preserve"> after 12 (twelve) months after the effective date of the contract and at every annual anniversary thereafter.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250"/>
        <w:gridCol w:w="5850"/>
      </w:tblGrid>
      <w:tr w:rsidR="00E70EC5" w:rsidRPr="0052152F" w14:paraId="0954D006" w14:textId="77777777" w:rsidTr="00710B24">
        <w:trPr>
          <w:cantSplit/>
          <w:tblHeader/>
        </w:trPr>
        <w:tc>
          <w:tcPr>
            <w:tcW w:w="2250" w:type="dxa"/>
            <w:shd w:val="clear" w:color="auto" w:fill="DBE5F1" w:themeFill="accent1" w:themeFillTint="33"/>
            <w:vAlign w:val="center"/>
          </w:tcPr>
          <w:p w14:paraId="1363BB52" w14:textId="77777777" w:rsidR="00E70EC5" w:rsidRPr="0052152F" w:rsidRDefault="00E70EC5" w:rsidP="00710B24">
            <w:pPr>
              <w:spacing w:before="60" w:after="60"/>
              <w:jc w:val="center"/>
              <w:rPr>
                <w:smallCaps/>
              </w:rPr>
            </w:pPr>
            <w:r w:rsidRPr="0052152F">
              <w:rPr>
                <w:smallCaps/>
              </w:rPr>
              <w:lastRenderedPageBreak/>
              <w:t>Performance Metric</w:t>
            </w:r>
          </w:p>
        </w:tc>
        <w:tc>
          <w:tcPr>
            <w:tcW w:w="5850" w:type="dxa"/>
            <w:shd w:val="clear" w:color="auto" w:fill="DBE5F1" w:themeFill="accent1" w:themeFillTint="33"/>
            <w:vAlign w:val="center"/>
          </w:tcPr>
          <w:p w14:paraId="7415F494" w14:textId="77777777" w:rsidR="00E70EC5" w:rsidRPr="0052152F" w:rsidRDefault="00E70EC5" w:rsidP="00710B24">
            <w:pPr>
              <w:spacing w:before="60" w:after="60"/>
              <w:jc w:val="center"/>
              <w:rPr>
                <w:smallCaps/>
              </w:rPr>
            </w:pPr>
            <w:r w:rsidRPr="0052152F">
              <w:rPr>
                <w:smallCaps/>
              </w:rPr>
              <w:t>Performance Requirement</w:t>
            </w:r>
            <w:r>
              <w:rPr>
                <w:smallCaps/>
              </w:rPr>
              <w:t xml:space="preserve"> for Contract Extension</w:t>
            </w:r>
          </w:p>
        </w:tc>
      </w:tr>
      <w:tr w:rsidR="00E70EC5" w14:paraId="25E28367" w14:textId="77777777" w:rsidTr="00710B24">
        <w:trPr>
          <w:cantSplit/>
        </w:trPr>
        <w:tc>
          <w:tcPr>
            <w:tcW w:w="2250" w:type="dxa"/>
            <w:vAlign w:val="center"/>
          </w:tcPr>
          <w:p w14:paraId="15BD2C35" w14:textId="77777777" w:rsidR="00E70EC5" w:rsidRDefault="00E70EC5" w:rsidP="00710B24">
            <w:pPr>
              <w:spacing w:before="60" w:after="60"/>
              <w:jc w:val="right"/>
            </w:pPr>
            <w:r>
              <w:t xml:space="preserve">On time Order Delivery for Categories 1, and </w:t>
            </w:r>
            <w:proofErr w:type="gramStart"/>
            <w:r>
              <w:t>2 :</w:t>
            </w:r>
            <w:proofErr w:type="gramEnd"/>
          </w:p>
        </w:tc>
        <w:tc>
          <w:tcPr>
            <w:tcW w:w="5850" w:type="dxa"/>
          </w:tcPr>
          <w:p w14:paraId="15559F4F" w14:textId="77777777" w:rsidR="00E70EC5" w:rsidRDefault="00E70EC5" w:rsidP="00710B24">
            <w:pPr>
              <w:spacing w:before="60" w:after="60"/>
              <w:jc w:val="both"/>
            </w:pPr>
            <w:r>
              <w:t>Timely deliver products purchased pursuant to this Cooperative Master Contract within the following timeframes:</w:t>
            </w:r>
          </w:p>
          <w:p w14:paraId="10CD5A11" w14:textId="77777777" w:rsidR="00E70EC5" w:rsidRDefault="00E70EC5" w:rsidP="00E70EC5">
            <w:pPr>
              <w:numPr>
                <w:ilvl w:val="0"/>
                <w:numId w:val="49"/>
              </w:numPr>
              <w:spacing w:before="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 least 50% of Purchases, by product volume, are delivered to Purchasers with </w:t>
            </w:r>
            <w:r>
              <w:rPr>
                <w:rFonts w:eastAsia="Times New Roman"/>
                <w:b/>
                <w:bCs/>
              </w:rPr>
              <w:t>90</w:t>
            </w:r>
            <w:r>
              <w:rPr>
                <w:rFonts w:eastAsia="Times New Roman"/>
              </w:rPr>
              <w:t xml:space="preserve"> calendars days of Contractor’s receipt of Purchase Order</w:t>
            </w:r>
          </w:p>
          <w:p w14:paraId="3104F2C7" w14:textId="77777777" w:rsidR="00E70EC5" w:rsidRDefault="00E70EC5" w:rsidP="00E70EC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</w:pPr>
            <w:r w:rsidRPr="008C1324">
              <w:rPr>
                <w:rFonts w:eastAsia="Times New Roman"/>
              </w:rPr>
              <w:t xml:space="preserve">At least 75% of Purchases, by product volume, are delivered to Purchasers with </w:t>
            </w:r>
            <w:r w:rsidRPr="008C1324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Pr="008C1324">
              <w:rPr>
                <w:rFonts w:eastAsia="Times New Roman"/>
                <w:b/>
                <w:bCs/>
              </w:rPr>
              <w:t>0</w:t>
            </w:r>
            <w:r w:rsidRPr="008C1324">
              <w:rPr>
                <w:rFonts w:eastAsia="Times New Roman"/>
              </w:rPr>
              <w:t xml:space="preserve"> calendars days of Contractor’s receipt of Purchase Order</w:t>
            </w:r>
            <w:r>
              <w:t>.</w:t>
            </w:r>
          </w:p>
        </w:tc>
      </w:tr>
      <w:tr w:rsidR="00E70EC5" w14:paraId="61A1FB27" w14:textId="77777777" w:rsidTr="00710B24">
        <w:trPr>
          <w:cantSplit/>
        </w:trPr>
        <w:tc>
          <w:tcPr>
            <w:tcW w:w="2250" w:type="dxa"/>
            <w:vAlign w:val="center"/>
          </w:tcPr>
          <w:p w14:paraId="7DD7C85A" w14:textId="77777777" w:rsidR="00E70EC5" w:rsidRDefault="00E70EC5" w:rsidP="00710B24">
            <w:pPr>
              <w:spacing w:before="60" w:after="60"/>
              <w:jc w:val="right"/>
            </w:pPr>
            <w:r>
              <w:t>On time Order Delivery for Categories 3, 4, 5 and 6:</w:t>
            </w:r>
          </w:p>
        </w:tc>
        <w:tc>
          <w:tcPr>
            <w:tcW w:w="5850" w:type="dxa"/>
          </w:tcPr>
          <w:p w14:paraId="5A2E1EE7" w14:textId="77777777" w:rsidR="00E70EC5" w:rsidRDefault="00E70EC5" w:rsidP="00710B24">
            <w:pPr>
              <w:spacing w:before="60" w:after="60"/>
              <w:jc w:val="both"/>
            </w:pPr>
            <w:r>
              <w:t>Timely deliver products purchased pursuant to this Cooperative Master Contract within the following timeframes:</w:t>
            </w:r>
          </w:p>
          <w:p w14:paraId="366467A6" w14:textId="77777777" w:rsidR="00E70EC5" w:rsidRDefault="00E70EC5" w:rsidP="00E70EC5">
            <w:pPr>
              <w:numPr>
                <w:ilvl w:val="0"/>
                <w:numId w:val="49"/>
              </w:numPr>
              <w:spacing w:before="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 least 50% of Purchases, by product volume, are delivered to Purchasers with </w:t>
            </w:r>
            <w:r>
              <w:rPr>
                <w:rFonts w:eastAsia="Times New Roman"/>
                <w:b/>
                <w:bCs/>
              </w:rPr>
              <w:t>30</w:t>
            </w:r>
            <w:r>
              <w:rPr>
                <w:rFonts w:eastAsia="Times New Roman"/>
              </w:rPr>
              <w:t xml:space="preserve"> calendars days of Contractor’s receipt of Purchase Order</w:t>
            </w:r>
          </w:p>
          <w:p w14:paraId="44E91C14" w14:textId="77777777" w:rsidR="00E70EC5" w:rsidRDefault="00E70EC5" w:rsidP="00E70EC5">
            <w:pPr>
              <w:numPr>
                <w:ilvl w:val="0"/>
                <w:numId w:val="49"/>
              </w:numPr>
              <w:spacing w:before="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 least 75% of Purchases, by product volume, are delivered to Purchasers with </w:t>
            </w:r>
            <w:r>
              <w:rPr>
                <w:rFonts w:eastAsia="Times New Roman"/>
                <w:b/>
                <w:bCs/>
              </w:rPr>
              <w:t>45</w:t>
            </w:r>
            <w:r>
              <w:rPr>
                <w:rFonts w:eastAsia="Times New Roman"/>
              </w:rPr>
              <w:t xml:space="preserve"> calendars days of Contractor’s receipt of Purchase Order</w:t>
            </w:r>
          </w:p>
          <w:p w14:paraId="3DE6FDC3" w14:textId="77777777" w:rsidR="00E70EC5" w:rsidRDefault="00E70EC5" w:rsidP="00E70EC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</w:pPr>
            <w:r w:rsidRPr="008C1324">
              <w:rPr>
                <w:rFonts w:eastAsia="Times New Roman"/>
              </w:rPr>
              <w:t xml:space="preserve">At least 90% of Purchases, by product volume, are delivered to Purchasers with </w:t>
            </w:r>
            <w:r w:rsidRPr="008C1324">
              <w:rPr>
                <w:rFonts w:eastAsia="Times New Roman"/>
                <w:b/>
                <w:bCs/>
              </w:rPr>
              <w:t>60</w:t>
            </w:r>
            <w:r w:rsidRPr="008C1324">
              <w:rPr>
                <w:rFonts w:eastAsia="Times New Roman"/>
              </w:rPr>
              <w:t xml:space="preserve"> calendars days of Contractor’s receipt of Purchase Order</w:t>
            </w:r>
          </w:p>
        </w:tc>
      </w:tr>
      <w:tr w:rsidR="00E70EC5" w:rsidRPr="00A02980" w14:paraId="4C4AE494" w14:textId="77777777" w:rsidTr="00710B24">
        <w:trPr>
          <w:cantSplit/>
        </w:trPr>
        <w:tc>
          <w:tcPr>
            <w:tcW w:w="2250" w:type="dxa"/>
            <w:vAlign w:val="center"/>
          </w:tcPr>
          <w:p w14:paraId="1E2CF4CA" w14:textId="77777777" w:rsidR="00E70EC5" w:rsidRPr="00A02980" w:rsidRDefault="00E70EC5" w:rsidP="00710B24">
            <w:pPr>
              <w:spacing w:before="60" w:after="60"/>
              <w:jc w:val="right"/>
              <w:rPr>
                <w:highlight w:val="yellow"/>
              </w:rPr>
            </w:pPr>
            <w:r w:rsidRPr="00F554B2">
              <w:rPr>
                <w:rFonts w:ascii="Calibri" w:eastAsia="Calibri" w:hAnsi="Calibri" w:cs="Times New Roman"/>
              </w:rPr>
              <w:t>Product Defects:</w:t>
            </w:r>
          </w:p>
        </w:tc>
        <w:tc>
          <w:tcPr>
            <w:tcW w:w="5850" w:type="dxa"/>
          </w:tcPr>
          <w:p w14:paraId="3DB7B942" w14:textId="77777777" w:rsidR="00E70EC5" w:rsidRPr="00A02980" w:rsidRDefault="00E70EC5" w:rsidP="00710B24">
            <w:pPr>
              <w:spacing w:before="60" w:after="60"/>
              <w:jc w:val="both"/>
              <w:rPr>
                <w:highlight w:val="yellow"/>
              </w:rPr>
            </w:pPr>
            <w:r w:rsidRPr="00F554B2">
              <w:rPr>
                <w:rFonts w:ascii="Calibri" w:eastAsia="Calibri" w:hAnsi="Calibri" w:cs="Times New Roman"/>
              </w:rPr>
              <w:t>Less than 10% of Contractor’s products purchased by Purchasers, quarterly, have product defects or missing parts requiring the return of such products by Purchasers.</w:t>
            </w:r>
          </w:p>
        </w:tc>
      </w:tr>
      <w:tr w:rsidR="00E70EC5" w:rsidRPr="00A02980" w14:paraId="5CF6BB3B" w14:textId="77777777" w:rsidTr="00710B24">
        <w:trPr>
          <w:cantSplit/>
        </w:trPr>
        <w:tc>
          <w:tcPr>
            <w:tcW w:w="2250" w:type="dxa"/>
            <w:vAlign w:val="center"/>
          </w:tcPr>
          <w:p w14:paraId="702FE62B" w14:textId="77777777" w:rsidR="00E70EC5" w:rsidRPr="00A02980" w:rsidRDefault="00E70EC5" w:rsidP="00710B24">
            <w:pPr>
              <w:spacing w:before="60" w:after="60"/>
              <w:jc w:val="right"/>
              <w:rPr>
                <w:highlight w:val="yellow"/>
              </w:rPr>
            </w:pPr>
            <w:r w:rsidRPr="00F554B2">
              <w:rPr>
                <w:rFonts w:ascii="Calibri" w:eastAsia="Calibri" w:hAnsi="Calibri" w:cs="Times New Roman"/>
              </w:rPr>
              <w:t>Shipping Damage:</w:t>
            </w:r>
          </w:p>
        </w:tc>
        <w:tc>
          <w:tcPr>
            <w:tcW w:w="5850" w:type="dxa"/>
          </w:tcPr>
          <w:p w14:paraId="789DE8BE" w14:textId="77777777" w:rsidR="00E70EC5" w:rsidRPr="00A02980" w:rsidRDefault="00E70EC5" w:rsidP="00710B24">
            <w:pPr>
              <w:spacing w:before="60" w:after="60"/>
              <w:jc w:val="both"/>
              <w:rPr>
                <w:highlight w:val="yellow"/>
              </w:rPr>
            </w:pPr>
            <w:r w:rsidRPr="00F554B2">
              <w:rPr>
                <w:rFonts w:ascii="Calibri" w:eastAsia="Calibri" w:hAnsi="Calibri" w:cs="Times New Roman"/>
              </w:rPr>
              <w:t>Less than 5% of Contractor’s products purchased by Purchasers, quarterly, arrive at Purchaser’s destination with shipping damage that requires product replacement or repair.</w:t>
            </w:r>
          </w:p>
        </w:tc>
      </w:tr>
      <w:tr w:rsidR="00E70EC5" w:rsidRPr="00B72969" w14:paraId="1B832AC5" w14:textId="77777777" w:rsidTr="00710B24">
        <w:trPr>
          <w:cantSplit/>
        </w:trPr>
        <w:tc>
          <w:tcPr>
            <w:tcW w:w="2250" w:type="dxa"/>
            <w:vAlign w:val="center"/>
          </w:tcPr>
          <w:p w14:paraId="0079AA2B" w14:textId="77777777" w:rsidR="00E70EC5" w:rsidRPr="00B72969" w:rsidRDefault="00E70EC5" w:rsidP="00710B24">
            <w:pPr>
              <w:spacing w:before="60" w:after="60"/>
              <w:jc w:val="right"/>
            </w:pPr>
            <w:r w:rsidRPr="00B72969">
              <w:t>Warranty Product Replacement:</w:t>
            </w:r>
          </w:p>
        </w:tc>
        <w:tc>
          <w:tcPr>
            <w:tcW w:w="5850" w:type="dxa"/>
          </w:tcPr>
          <w:p w14:paraId="5681DE08" w14:textId="77777777" w:rsidR="00E70EC5" w:rsidRPr="00B72969" w:rsidRDefault="00E70EC5" w:rsidP="00710B24">
            <w:pPr>
              <w:spacing w:before="60" w:after="60"/>
              <w:jc w:val="both"/>
            </w:pPr>
            <w:r w:rsidRPr="00B72969">
              <w:t>Contractor achieves the following warranty metrics for eligible products purchased by Purchasers that are covered as warranty replacements:</w:t>
            </w:r>
          </w:p>
          <w:p w14:paraId="4F2FAB67" w14:textId="77777777" w:rsidR="00E70EC5" w:rsidRPr="00B72969" w:rsidRDefault="00E70EC5" w:rsidP="00E70EC5">
            <w:pPr>
              <w:pStyle w:val="ListParagraph"/>
              <w:numPr>
                <w:ilvl w:val="0"/>
                <w:numId w:val="49"/>
              </w:numPr>
              <w:spacing w:before="40"/>
              <w:jc w:val="both"/>
            </w:pPr>
            <w:r w:rsidRPr="00B72969">
              <w:t xml:space="preserve">75% or higher warranty product replacements occur within 50 days of receipt by Contractor product requiring warranty </w:t>
            </w:r>
            <w:proofErr w:type="gramStart"/>
            <w:r w:rsidRPr="00B72969">
              <w:t>replacement;</w:t>
            </w:r>
            <w:proofErr w:type="gramEnd"/>
            <w:r w:rsidRPr="00B72969">
              <w:t xml:space="preserve"> and</w:t>
            </w:r>
          </w:p>
          <w:p w14:paraId="72CF7332" w14:textId="77777777" w:rsidR="00E70EC5" w:rsidRPr="00B72969" w:rsidRDefault="00E70EC5" w:rsidP="00E70EC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</w:pPr>
            <w:r w:rsidRPr="00B72969">
              <w:t>90% or higher warranty product replacements occur within 75 days of receipt by Contractor of product requiring warranty replacement.</w:t>
            </w:r>
          </w:p>
        </w:tc>
      </w:tr>
      <w:tr w:rsidR="00E70EC5" w:rsidRPr="00B72969" w14:paraId="5AE96D3E" w14:textId="77777777" w:rsidTr="00710B24">
        <w:trPr>
          <w:cantSplit/>
        </w:trPr>
        <w:tc>
          <w:tcPr>
            <w:tcW w:w="2250" w:type="dxa"/>
            <w:vAlign w:val="center"/>
          </w:tcPr>
          <w:p w14:paraId="120C86BC" w14:textId="77777777" w:rsidR="00E70EC5" w:rsidRPr="00A02980" w:rsidRDefault="00E70EC5" w:rsidP="00710B24">
            <w:pPr>
              <w:spacing w:before="60" w:after="60"/>
              <w:jc w:val="right"/>
              <w:rPr>
                <w:highlight w:val="yellow"/>
              </w:rPr>
            </w:pPr>
            <w:r>
              <w:t>Warranty Product Repair:</w:t>
            </w:r>
          </w:p>
        </w:tc>
        <w:tc>
          <w:tcPr>
            <w:tcW w:w="5850" w:type="dxa"/>
          </w:tcPr>
          <w:p w14:paraId="0599927F" w14:textId="77777777" w:rsidR="00E70EC5" w:rsidRPr="00B72969" w:rsidRDefault="00E70EC5" w:rsidP="00710B24">
            <w:pPr>
              <w:spacing w:before="60" w:after="60"/>
              <w:jc w:val="both"/>
            </w:pPr>
            <w:r w:rsidRPr="00B72969">
              <w:t>Contractor achieves the following warranty metrics for eligible products purchased by Purchasers that are covered as warranty repairs:</w:t>
            </w:r>
          </w:p>
          <w:p w14:paraId="6F95CE74" w14:textId="77777777" w:rsidR="00E70EC5" w:rsidRPr="00B72969" w:rsidRDefault="00E70EC5" w:rsidP="00E70EC5">
            <w:pPr>
              <w:pStyle w:val="ListParagraph"/>
              <w:numPr>
                <w:ilvl w:val="0"/>
                <w:numId w:val="49"/>
              </w:numPr>
              <w:spacing w:before="40"/>
              <w:jc w:val="both"/>
            </w:pPr>
            <w:r w:rsidRPr="00B72969">
              <w:t xml:space="preserve">75% or higher warranty product replacements occur within 60 days of receipt by Contractor product requiring warranty </w:t>
            </w:r>
            <w:proofErr w:type="gramStart"/>
            <w:r w:rsidRPr="00B72969">
              <w:t>repair;</w:t>
            </w:r>
            <w:proofErr w:type="gramEnd"/>
            <w:r w:rsidRPr="00B72969">
              <w:t xml:space="preserve"> and </w:t>
            </w:r>
          </w:p>
          <w:p w14:paraId="611E1A72" w14:textId="77777777" w:rsidR="00E70EC5" w:rsidRPr="00B72969" w:rsidRDefault="00E70EC5" w:rsidP="00E70EC5">
            <w:pPr>
              <w:pStyle w:val="ListParagraph"/>
              <w:numPr>
                <w:ilvl w:val="0"/>
                <w:numId w:val="49"/>
              </w:numPr>
              <w:spacing w:before="60" w:after="60"/>
              <w:jc w:val="both"/>
            </w:pPr>
            <w:r w:rsidRPr="00B72969">
              <w:t>90% or higher warranty product replacements occur within 90 days of receipt by Contractor of product requiring warranty repairs.</w:t>
            </w:r>
          </w:p>
        </w:tc>
      </w:tr>
    </w:tbl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lastRenderedPageBreak/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 xml:space="preserve">Please wait to receive an invoice from DES before sending </w:t>
      </w:r>
      <w:r w:rsidRPr="00496A56">
        <w:rPr>
          <w:rFonts w:cs="Arial"/>
        </w:rPr>
        <w:lastRenderedPageBreak/>
        <w:t>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251A7206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6D1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1BD8F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 Contract No. </w:t>
    </w:r>
    <w:r w:rsidR="00A237D2">
      <w:rPr>
        <w:sz w:val="20"/>
      </w:rPr>
      <w:t>07521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6DD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4A2C2C49" w:rsidR="002D44CF" w:rsidRDefault="00A237D2">
    <w:pPr>
      <w:pStyle w:val="Header"/>
    </w:pPr>
    <w:proofErr w:type="gramStart"/>
    <w:r>
      <w:rPr>
        <w:sz w:val="20"/>
      </w:rPr>
      <w:t>Street Lights</w:t>
    </w:r>
    <w:proofErr w:type="gramEnd"/>
    <w:r>
      <w:rPr>
        <w:sz w:val="20"/>
      </w:rPr>
      <w:t xml:space="preserve"> &amp; Poles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F224B"/>
    <w:multiLevelType w:val="hybridMultilevel"/>
    <w:tmpl w:val="6756A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639949">
    <w:abstractNumId w:val="20"/>
  </w:num>
  <w:num w:numId="2" w16cid:durableId="154807502">
    <w:abstractNumId w:val="30"/>
  </w:num>
  <w:num w:numId="3" w16cid:durableId="1432898288">
    <w:abstractNumId w:val="39"/>
  </w:num>
  <w:num w:numId="4" w16cid:durableId="130947266">
    <w:abstractNumId w:val="9"/>
  </w:num>
  <w:num w:numId="5" w16cid:durableId="1758284003">
    <w:abstractNumId w:val="2"/>
  </w:num>
  <w:num w:numId="6" w16cid:durableId="1049918048">
    <w:abstractNumId w:val="21"/>
  </w:num>
  <w:num w:numId="7" w16cid:durableId="1732195704">
    <w:abstractNumId w:val="38"/>
  </w:num>
  <w:num w:numId="8" w16cid:durableId="972489406">
    <w:abstractNumId w:val="16"/>
  </w:num>
  <w:num w:numId="9" w16cid:durableId="1908148528">
    <w:abstractNumId w:val="23"/>
  </w:num>
  <w:num w:numId="10" w16cid:durableId="265893393">
    <w:abstractNumId w:val="28"/>
  </w:num>
  <w:num w:numId="11" w16cid:durableId="1460225230">
    <w:abstractNumId w:val="33"/>
  </w:num>
  <w:num w:numId="12" w16cid:durableId="476647735">
    <w:abstractNumId w:val="46"/>
  </w:num>
  <w:num w:numId="13" w16cid:durableId="1695888663">
    <w:abstractNumId w:val="26"/>
  </w:num>
  <w:num w:numId="14" w16cid:durableId="1657683380">
    <w:abstractNumId w:val="24"/>
  </w:num>
  <w:num w:numId="15" w16cid:durableId="1213926086">
    <w:abstractNumId w:val="7"/>
  </w:num>
  <w:num w:numId="16" w16cid:durableId="981270570">
    <w:abstractNumId w:val="6"/>
  </w:num>
  <w:num w:numId="17" w16cid:durableId="807091280">
    <w:abstractNumId w:val="3"/>
  </w:num>
  <w:num w:numId="18" w16cid:durableId="1491408285">
    <w:abstractNumId w:val="22"/>
  </w:num>
  <w:num w:numId="19" w16cid:durableId="806699292">
    <w:abstractNumId w:val="11"/>
  </w:num>
  <w:num w:numId="20" w16cid:durableId="1512646924">
    <w:abstractNumId w:val="8"/>
  </w:num>
  <w:num w:numId="21" w16cid:durableId="2121223581">
    <w:abstractNumId w:val="32"/>
  </w:num>
  <w:num w:numId="22" w16cid:durableId="544870204">
    <w:abstractNumId w:val="19"/>
  </w:num>
  <w:num w:numId="23" w16cid:durableId="2000570888">
    <w:abstractNumId w:val="0"/>
  </w:num>
  <w:num w:numId="24" w16cid:durableId="107043043">
    <w:abstractNumId w:val="29"/>
  </w:num>
  <w:num w:numId="25" w16cid:durableId="1446579067">
    <w:abstractNumId w:val="34"/>
  </w:num>
  <w:num w:numId="26" w16cid:durableId="1852721043">
    <w:abstractNumId w:val="5"/>
  </w:num>
  <w:num w:numId="27" w16cid:durableId="1512992001">
    <w:abstractNumId w:val="27"/>
  </w:num>
  <w:num w:numId="28" w16cid:durableId="996422035">
    <w:abstractNumId w:val="36"/>
  </w:num>
  <w:num w:numId="29" w16cid:durableId="16315205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6606544">
    <w:abstractNumId w:val="31"/>
  </w:num>
  <w:num w:numId="31" w16cid:durableId="1028217810">
    <w:abstractNumId w:val="25"/>
  </w:num>
  <w:num w:numId="32" w16cid:durableId="16823927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6798588">
    <w:abstractNumId w:val="10"/>
  </w:num>
  <w:num w:numId="34" w16cid:durableId="789086135">
    <w:abstractNumId w:val="1"/>
  </w:num>
  <w:num w:numId="35" w16cid:durableId="1322465750">
    <w:abstractNumId w:val="47"/>
  </w:num>
  <w:num w:numId="36" w16cid:durableId="2021348477">
    <w:abstractNumId w:val="14"/>
  </w:num>
  <w:num w:numId="37" w16cid:durableId="1315254144">
    <w:abstractNumId w:val="4"/>
  </w:num>
  <w:num w:numId="38" w16cid:durableId="594942015">
    <w:abstractNumId w:val="43"/>
  </w:num>
  <w:num w:numId="39" w16cid:durableId="1900744992">
    <w:abstractNumId w:val="45"/>
  </w:num>
  <w:num w:numId="40" w16cid:durableId="1664047351">
    <w:abstractNumId w:val="15"/>
  </w:num>
  <w:num w:numId="41" w16cid:durableId="1929730505">
    <w:abstractNumId w:val="12"/>
  </w:num>
  <w:num w:numId="42" w16cid:durableId="941497013">
    <w:abstractNumId w:val="18"/>
  </w:num>
  <w:num w:numId="43" w16cid:durableId="158741828">
    <w:abstractNumId w:val="41"/>
  </w:num>
  <w:num w:numId="44" w16cid:durableId="176162788">
    <w:abstractNumId w:val="35"/>
  </w:num>
  <w:num w:numId="45" w16cid:durableId="1504929250">
    <w:abstractNumId w:val="42"/>
  </w:num>
  <w:num w:numId="46" w16cid:durableId="1509951319">
    <w:abstractNumId w:val="40"/>
  </w:num>
  <w:num w:numId="47" w16cid:durableId="1501195079">
    <w:abstractNumId w:val="13"/>
  </w:num>
  <w:num w:numId="48" w16cid:durableId="139270256">
    <w:abstractNumId w:val="17"/>
  </w:num>
  <w:num w:numId="49" w16cid:durableId="196746259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237D2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0EC5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E70E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b6afe888-f51a-4c3d-82c6-e39c96fc34be"/>
    <ds:schemaRef ds:uri="http://schemas.microsoft.com/office/2006/documentManagement/types"/>
    <ds:schemaRef ds:uri="http://purl.org/dc/elements/1.1/"/>
    <ds:schemaRef ds:uri="fdb9e8f5-e773-48b6-ac01-e4d5d934d6b8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Bacon, Jaime (DES)</cp:lastModifiedBy>
  <cp:revision>2</cp:revision>
  <cp:lastPrinted>2018-02-01T23:33:00Z</cp:lastPrinted>
  <dcterms:created xsi:type="dcterms:W3CDTF">2023-04-26T19:03:00Z</dcterms:created>
  <dcterms:modified xsi:type="dcterms:W3CDTF">2023-04-26T19:03:00Z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