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371A1FC2" w:rsidR="00E027B4" w:rsidRDefault="00A94AA5" w:rsidP="00EE729D">
      <w:pPr>
        <w:pStyle w:val="Heading1"/>
      </w:pPr>
      <w:r>
        <w:t>29023</w:t>
      </w:r>
      <w:r w:rsidR="00377C4A">
        <w:t xml:space="preserve"> </w:t>
      </w:r>
      <w:r w:rsidR="00774B12">
        <w:t>–</w:t>
      </w:r>
      <w:r w:rsidR="00476FBB">
        <w:t xml:space="preserve"> </w:t>
      </w:r>
      <w:r>
        <w:t>Illumination Transportation and Traffic Systems</w:t>
      </w:r>
      <w:r w:rsidR="00476FBB">
        <w:t xml:space="preserve"> </w:t>
      </w:r>
    </w:p>
    <w:p w14:paraId="7533B5BF" w14:textId="2324075F"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r w:rsidR="0061361C">
        <w:rPr>
          <w:rFonts w:cs="Arial"/>
          <w:sz w:val="28"/>
          <w:lang w:bidi="ar-SA"/>
        </w:rPr>
        <w:t>)</w:t>
      </w:r>
    </w:p>
    <w:p w14:paraId="5BD05F04" w14:textId="77777777" w:rsidR="00F914ED" w:rsidRDefault="00F914ED" w:rsidP="008B0469">
      <w:pPr>
        <w:rPr>
          <w:rFonts w:cs="Arial"/>
          <w:sz w:val="28"/>
          <w:lang w:bidi="ar-SA"/>
        </w:rPr>
      </w:pPr>
    </w:p>
    <w:p w14:paraId="63D9F564" w14:textId="24457C19" w:rsidR="00F914ED" w:rsidRPr="00F32E85" w:rsidRDefault="00F0133D" w:rsidP="00DE191A">
      <w:pPr>
        <w:rPr>
          <w:rFonts w:cs="Arial"/>
          <w:b/>
          <w:bCs/>
          <w:sz w:val="32"/>
          <w:szCs w:val="32"/>
          <w:lang w:bidi="ar-SA"/>
        </w:rPr>
      </w:pPr>
      <w:r w:rsidRPr="00F32E85">
        <w:rPr>
          <w:rFonts w:cs="Arial"/>
          <w:b/>
          <w:bCs/>
          <w:sz w:val="32"/>
          <w:szCs w:val="32"/>
          <w:lang w:bidi="ar-SA"/>
        </w:rPr>
        <w:t xml:space="preserve">Contract </w:t>
      </w:r>
      <w:r w:rsidR="00F914ED" w:rsidRPr="00F32E85">
        <w:rPr>
          <w:rFonts w:cs="Arial"/>
          <w:b/>
          <w:bCs/>
          <w:sz w:val="32"/>
          <w:szCs w:val="32"/>
          <w:lang w:bidi="ar-SA"/>
        </w:rPr>
        <w:t>FAQs</w:t>
      </w:r>
    </w:p>
    <w:p w14:paraId="4F27DA9C" w14:textId="77777777" w:rsidR="00193BF4" w:rsidRDefault="00193BF4" w:rsidP="008B0469">
      <w:pPr>
        <w:rPr>
          <w:rFonts w:cs="Arial"/>
          <w:sz w:val="28"/>
          <w:lang w:bidi="ar-SA"/>
        </w:rPr>
      </w:pPr>
    </w:p>
    <w:p w14:paraId="7F1B7EF9" w14:textId="625C62D7" w:rsidR="008D61A9" w:rsidRPr="009E7CB8" w:rsidRDefault="00F0133D" w:rsidP="009E7CB8">
      <w:pPr>
        <w:pStyle w:val="Heading2"/>
      </w:pPr>
      <w:r w:rsidRPr="009E7CB8">
        <w:t xml:space="preserve">Purchaser </w:t>
      </w:r>
      <w:r w:rsidR="008D61A9" w:rsidRPr="009E7CB8">
        <w:t>Related</w:t>
      </w:r>
    </w:p>
    <w:p w14:paraId="5CE313F6" w14:textId="2C76B653" w:rsidR="00E259BC" w:rsidRPr="005E547E" w:rsidRDefault="00E259BC" w:rsidP="005E547E">
      <w:pPr>
        <w:jc w:val="both"/>
        <w:rPr>
          <w:rFonts w:cs="Arial"/>
          <w:b/>
          <w:sz w:val="20"/>
          <w:szCs w:val="20"/>
        </w:rPr>
      </w:pPr>
    </w:p>
    <w:p w14:paraId="089B3A44" w14:textId="6ED1F3B7" w:rsidR="00CE2F2F" w:rsidRDefault="00CE2F2F" w:rsidP="00816D70">
      <w:pPr>
        <w:pStyle w:val="Heading4"/>
        <w:numPr>
          <w:ilvl w:val="0"/>
          <w:numId w:val="1"/>
        </w:numPr>
        <w:ind w:left="360"/>
        <w:rPr>
          <w:rFonts w:cs="Arial"/>
        </w:rPr>
      </w:pPr>
      <w:bookmarkStart w:id="0" w:name="FAQ_1"/>
      <w:bookmarkStart w:id="1" w:name="FAQ_2"/>
      <w:bookmarkEnd w:id="0"/>
      <w:bookmarkEnd w:id="1"/>
      <w:r>
        <w:rPr>
          <w:rFonts w:cs="Arial"/>
        </w:rPr>
        <w:t>How long will this contract be active?</w:t>
      </w:r>
    </w:p>
    <w:p w14:paraId="35CE2E53" w14:textId="0911EC48" w:rsidR="00BA6B07" w:rsidRDefault="00BA6B07" w:rsidP="00BA6B07">
      <w:pPr>
        <w:ind w:left="360"/>
      </w:pPr>
      <w:r>
        <w:t xml:space="preserve">This contract ends </w:t>
      </w:r>
      <w:r w:rsidR="00A94AA5">
        <w:t xml:space="preserve">March </w:t>
      </w:r>
      <w:r w:rsidR="007406AB">
        <w:t>31</w:t>
      </w:r>
      <w:r w:rsidR="00A94AA5">
        <w:t>, 2029</w:t>
      </w:r>
      <w:r w:rsidR="00E555C0">
        <w:t>.</w:t>
      </w:r>
      <w:r w:rsidR="00632702">
        <w:t xml:space="preserve"> </w:t>
      </w:r>
    </w:p>
    <w:p w14:paraId="61F85002" w14:textId="77777777" w:rsidR="00E555C0" w:rsidRPr="00BA6B07" w:rsidRDefault="00E555C0" w:rsidP="00BA6B07">
      <w:pPr>
        <w:ind w:left="360"/>
      </w:pPr>
    </w:p>
    <w:p w14:paraId="7BD7BE65" w14:textId="33138990" w:rsidR="00CE2F2F" w:rsidRDefault="00CE2F2F" w:rsidP="00816D70">
      <w:pPr>
        <w:pStyle w:val="Heading4"/>
        <w:numPr>
          <w:ilvl w:val="0"/>
          <w:numId w:val="1"/>
        </w:numPr>
        <w:ind w:left="360"/>
        <w:rPr>
          <w:rFonts w:cs="Arial"/>
        </w:rPr>
      </w:pPr>
      <w:r>
        <w:rPr>
          <w:rFonts w:cs="Arial"/>
        </w:rPr>
        <w:t>What products are available on this contract?</w:t>
      </w:r>
    </w:p>
    <w:p w14:paraId="7B486BC6" w14:textId="027644FB" w:rsidR="00E555C0" w:rsidRDefault="00E555C0" w:rsidP="00E555C0">
      <w:pPr>
        <w:ind w:left="360"/>
        <w:rPr>
          <w:rFonts w:asciiTheme="majorHAnsi" w:eastAsia="Times New Roman" w:hAnsiTheme="majorHAnsi" w:cstheme="majorHAnsi"/>
          <w:lang w:bidi="ar-SA"/>
        </w:rPr>
      </w:pPr>
      <w:r>
        <w:rPr>
          <w:rFonts w:asciiTheme="majorHAnsi" w:eastAsia="Times New Roman" w:hAnsiTheme="majorHAnsi" w:cstheme="majorHAnsi"/>
          <w:lang w:bidi="ar-SA"/>
        </w:rPr>
        <w:t>The product list</w:t>
      </w:r>
      <w:r w:rsidRPr="00E555C0">
        <w:rPr>
          <w:rFonts w:asciiTheme="majorHAnsi" w:eastAsia="Times New Roman" w:hAnsiTheme="majorHAnsi" w:cstheme="majorHAnsi"/>
          <w:lang w:bidi="ar-SA"/>
        </w:rPr>
        <w:t xml:space="preserve"> includes </w:t>
      </w:r>
      <w:r w:rsidR="00A94AA5">
        <w:rPr>
          <w:rFonts w:asciiTheme="majorHAnsi" w:eastAsia="Times New Roman" w:hAnsiTheme="majorHAnsi" w:cstheme="majorHAnsi"/>
          <w:lang w:bidi="ar-SA"/>
        </w:rPr>
        <w:t>items related to illumination</w:t>
      </w:r>
      <w:r w:rsidR="00192195">
        <w:rPr>
          <w:rFonts w:asciiTheme="majorHAnsi" w:eastAsia="Times New Roman" w:hAnsiTheme="majorHAnsi" w:cstheme="majorHAnsi"/>
          <w:lang w:bidi="ar-SA"/>
        </w:rPr>
        <w:t>,</w:t>
      </w:r>
      <w:r w:rsidR="00A94AA5">
        <w:rPr>
          <w:rFonts w:asciiTheme="majorHAnsi" w:eastAsia="Times New Roman" w:hAnsiTheme="majorHAnsi" w:cstheme="majorHAnsi"/>
          <w:lang w:bidi="ar-SA"/>
        </w:rPr>
        <w:t xml:space="preserve"> transportation</w:t>
      </w:r>
      <w:r w:rsidR="00192195">
        <w:rPr>
          <w:rFonts w:asciiTheme="majorHAnsi" w:eastAsia="Times New Roman" w:hAnsiTheme="majorHAnsi" w:cstheme="majorHAnsi"/>
          <w:lang w:bidi="ar-SA"/>
        </w:rPr>
        <w:t>,</w:t>
      </w:r>
      <w:r w:rsidR="00A94AA5">
        <w:rPr>
          <w:rFonts w:asciiTheme="majorHAnsi" w:eastAsia="Times New Roman" w:hAnsiTheme="majorHAnsi" w:cstheme="majorHAnsi"/>
          <w:lang w:bidi="ar-SA"/>
        </w:rPr>
        <w:t xml:space="preserve"> and traffic systems, split into the following categories: </w:t>
      </w:r>
    </w:p>
    <w:p w14:paraId="155710BB" w14:textId="77777777" w:rsidR="00A94AA5" w:rsidRDefault="00A94AA5" w:rsidP="00E555C0">
      <w:pPr>
        <w:ind w:left="360"/>
        <w:rPr>
          <w:rFonts w:asciiTheme="majorHAnsi" w:eastAsia="Times New Roman" w:hAnsiTheme="majorHAnsi" w:cstheme="majorHAnsi"/>
          <w:lang w:bidi="ar-SA"/>
        </w:rPr>
      </w:pPr>
    </w:p>
    <w:p w14:paraId="7D3E6AAA" w14:textId="259386AA" w:rsidR="00A94AA5" w:rsidRPr="00E555C0" w:rsidRDefault="00A94AA5" w:rsidP="00E555C0">
      <w:pPr>
        <w:ind w:left="360"/>
        <w:rPr>
          <w:rFonts w:asciiTheme="majorHAnsi" w:eastAsia="Times New Roman" w:hAnsiTheme="majorHAnsi" w:cstheme="majorHAnsi"/>
          <w:lang w:bidi="ar-SA"/>
        </w:rPr>
      </w:pPr>
      <w:r>
        <w:rPr>
          <w:rFonts w:asciiTheme="majorHAnsi" w:eastAsia="Times New Roman" w:hAnsiTheme="majorHAnsi" w:cstheme="majorHAnsi"/>
          <w:lang w:bidi="ar-SA"/>
        </w:rPr>
        <w:t>To view this expansive product list broken into 81 categories, please visit the pricing sheet, lo</w:t>
      </w:r>
      <w:r w:rsidRPr="00192195">
        <w:rPr>
          <w:rFonts w:asciiTheme="majorHAnsi" w:eastAsia="Times New Roman" w:hAnsiTheme="majorHAnsi" w:cstheme="majorHAnsi"/>
          <w:lang w:bidi="ar-SA"/>
        </w:rPr>
        <w:t>cated (</w:t>
      </w:r>
      <w:hyperlink r:id="rId11" w:history="1">
        <w:r w:rsidRPr="00192195">
          <w:rPr>
            <w:rStyle w:val="Hyperlink"/>
            <w:rFonts w:asciiTheme="majorHAnsi" w:eastAsia="Times New Roman" w:hAnsiTheme="majorHAnsi" w:cstheme="majorHAnsi"/>
            <w:lang w:bidi="ar-SA"/>
          </w:rPr>
          <w:t>HERE</w:t>
        </w:r>
      </w:hyperlink>
      <w:r w:rsidRPr="00192195">
        <w:rPr>
          <w:rFonts w:asciiTheme="majorHAnsi" w:eastAsia="Times New Roman" w:hAnsiTheme="majorHAnsi" w:cstheme="majorHAnsi"/>
          <w:lang w:bidi="ar-SA"/>
        </w:rPr>
        <w:t>).</w:t>
      </w:r>
    </w:p>
    <w:p w14:paraId="73FCB621" w14:textId="77777777" w:rsidR="00E555C0" w:rsidRPr="00E555C0" w:rsidRDefault="00E555C0" w:rsidP="00E555C0">
      <w:pPr>
        <w:ind w:left="360"/>
      </w:pPr>
    </w:p>
    <w:p w14:paraId="6A25D496" w14:textId="461702EB" w:rsidR="005C17E9" w:rsidRPr="00496A56" w:rsidRDefault="00F914ED" w:rsidP="00816D70">
      <w:pPr>
        <w:pStyle w:val="Heading4"/>
        <w:numPr>
          <w:ilvl w:val="0"/>
          <w:numId w:val="1"/>
        </w:numPr>
        <w:ind w:left="360"/>
        <w:rPr>
          <w:rFonts w:cs="Arial"/>
        </w:rPr>
      </w:pPr>
      <w:r w:rsidRPr="00C218C3">
        <w:t xml:space="preserve">Can I choose any awarded </w:t>
      </w:r>
      <w:r w:rsidR="005D145A" w:rsidRPr="00C218C3">
        <w:t>contractor</w:t>
      </w:r>
      <w:r w:rsidRPr="00C218C3">
        <w:t xml:space="preserve"> to purchase from this contract?</w:t>
      </w:r>
    </w:p>
    <w:p w14:paraId="79F5667B" w14:textId="04FB0F86" w:rsidR="00E555C0" w:rsidRDefault="0006645F" w:rsidP="00613E6E">
      <w:pPr>
        <w:pStyle w:val="ListParagraph"/>
        <w:ind w:left="360"/>
        <w:jc w:val="both"/>
        <w:rPr>
          <w:rFonts w:cs="Arial"/>
        </w:rPr>
      </w:pPr>
      <w:r w:rsidRPr="0006645F">
        <w:rPr>
          <w:rFonts w:cs="Arial"/>
        </w:rPr>
        <w:t xml:space="preserve">This contract has </w:t>
      </w:r>
      <w:r w:rsidR="00A94AA5">
        <w:rPr>
          <w:rFonts w:cs="Arial"/>
        </w:rPr>
        <w:t>multiple</w:t>
      </w:r>
      <w:r w:rsidRPr="0006645F">
        <w:rPr>
          <w:rFonts w:cs="Arial"/>
        </w:rPr>
        <w:t xml:space="preserve"> awarded contractors to provide</w:t>
      </w:r>
      <w:r>
        <w:rPr>
          <w:rFonts w:cs="Arial"/>
        </w:rPr>
        <w:t xml:space="preserve"> </w:t>
      </w:r>
      <w:r w:rsidR="00A94AA5">
        <w:rPr>
          <w:rFonts w:cs="Arial"/>
        </w:rPr>
        <w:t>Illumination Transportation and Traffic Systems</w:t>
      </w:r>
      <w:r w:rsidRPr="0006645F">
        <w:rPr>
          <w:rFonts w:cs="Arial"/>
        </w:rPr>
        <w:t xml:space="preserve"> in each category. All contractors went through the competitive solicitation process and were selected to be awarded on this contract as the highest scoring bidders for the specified</w:t>
      </w:r>
      <w:r>
        <w:rPr>
          <w:rFonts w:cs="Arial"/>
        </w:rPr>
        <w:t xml:space="preserve"> category</w:t>
      </w:r>
      <w:r w:rsidRPr="0006645F">
        <w:rPr>
          <w:rFonts w:cs="Arial"/>
        </w:rPr>
        <w:t xml:space="preserve">. Purchasers may not use a contractor to obtain </w:t>
      </w:r>
      <w:r w:rsidR="00A94AA5">
        <w:rPr>
          <w:rFonts w:cs="Arial"/>
        </w:rPr>
        <w:t>Illumination Transpiration and Traffic Systems</w:t>
      </w:r>
      <w:r w:rsidRPr="0006645F">
        <w:rPr>
          <w:rFonts w:cs="Arial"/>
        </w:rPr>
        <w:t xml:space="preserve"> from a category that was not awarded to that contractor. All contractors went through the competitive solicitation process and were selected to be awarded on this </w:t>
      </w:r>
      <w:r w:rsidR="00A94AA5">
        <w:rPr>
          <w:rFonts w:cs="Arial"/>
        </w:rPr>
        <w:t>cooperative purchasing agreement</w:t>
      </w:r>
      <w:r w:rsidRPr="0006645F">
        <w:rPr>
          <w:rFonts w:cs="Arial"/>
        </w:rPr>
        <w:t xml:space="preserve"> as the highest scoring bidders. State of Washington Agency customers are not required to conduct further competition to choose an awarded contractor. Other customers should follow their applicable rules regarding contractor selection.</w:t>
      </w:r>
    </w:p>
    <w:p w14:paraId="53C4E819" w14:textId="77777777" w:rsidR="0033416C" w:rsidRDefault="0033416C" w:rsidP="00613E6E">
      <w:pPr>
        <w:pStyle w:val="ListParagraph"/>
        <w:ind w:left="360"/>
        <w:jc w:val="both"/>
        <w:rPr>
          <w:rFonts w:cs="Arial"/>
        </w:rPr>
      </w:pPr>
    </w:p>
    <w:p w14:paraId="5AD744B7" w14:textId="77777777" w:rsidR="0033416C" w:rsidRPr="0033416C" w:rsidRDefault="0033416C" w:rsidP="0033416C">
      <w:pPr>
        <w:pStyle w:val="Heading4"/>
        <w:numPr>
          <w:ilvl w:val="0"/>
          <w:numId w:val="1"/>
        </w:numPr>
        <w:ind w:left="360"/>
        <w:rPr>
          <w:rFonts w:cs="Arial"/>
        </w:rPr>
      </w:pPr>
      <w:r w:rsidRPr="0033416C">
        <w:rPr>
          <w:rFonts w:cs="Arial"/>
        </w:rPr>
        <w:t xml:space="preserve">What does it mean if the contractor is </w:t>
      </w:r>
      <w:r w:rsidRPr="0033416C">
        <w:t>the</w:t>
      </w:r>
      <w:r w:rsidRPr="0033416C">
        <w:rPr>
          <w:rFonts w:cs="Arial"/>
        </w:rPr>
        <w:t xml:space="preserve"> main award vs reserved award?</w:t>
      </w:r>
    </w:p>
    <w:p w14:paraId="0F740650" w14:textId="77777777" w:rsidR="0033416C" w:rsidRDefault="0033416C" w:rsidP="0033416C">
      <w:pPr>
        <w:pStyle w:val="ListParagraph"/>
        <w:ind w:left="360"/>
        <w:jc w:val="both"/>
        <w:rPr>
          <w:rFonts w:cs="Arial"/>
        </w:rPr>
      </w:pPr>
      <w:r w:rsidRPr="0033416C">
        <w:rPr>
          <w:rFonts w:cs="Arial"/>
        </w:rPr>
        <w:t>The contractors designated as main awards are businesses that participated in the competitive solicitation and were determined to be the highest scored, responsive, responsible bidders with no preference.</w:t>
      </w:r>
    </w:p>
    <w:p w14:paraId="2707E89C" w14:textId="77777777" w:rsidR="0033416C" w:rsidRPr="0033416C" w:rsidRDefault="0033416C" w:rsidP="0033416C">
      <w:pPr>
        <w:pStyle w:val="ListParagraph"/>
        <w:ind w:left="360"/>
        <w:jc w:val="both"/>
        <w:rPr>
          <w:rFonts w:cs="Arial"/>
        </w:rPr>
      </w:pPr>
    </w:p>
    <w:p w14:paraId="7122D8C4" w14:textId="77777777" w:rsidR="0033416C" w:rsidRDefault="0033416C" w:rsidP="0033416C">
      <w:pPr>
        <w:pStyle w:val="ListParagraph"/>
        <w:ind w:left="360"/>
        <w:jc w:val="both"/>
        <w:rPr>
          <w:rFonts w:cs="Arial"/>
        </w:rPr>
      </w:pPr>
      <w:r w:rsidRPr="0033416C">
        <w:rPr>
          <w:rFonts w:cs="Arial"/>
        </w:rPr>
        <w:t>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w:t>
      </w:r>
    </w:p>
    <w:p w14:paraId="6A03FD0A" w14:textId="77777777" w:rsidR="0033416C" w:rsidRPr="0033416C" w:rsidRDefault="0033416C" w:rsidP="0033416C">
      <w:pPr>
        <w:pStyle w:val="ListParagraph"/>
        <w:ind w:left="360"/>
        <w:jc w:val="both"/>
        <w:rPr>
          <w:rFonts w:cs="Arial"/>
        </w:rPr>
      </w:pPr>
    </w:p>
    <w:p w14:paraId="2209FD2B" w14:textId="360F4612" w:rsidR="0033416C" w:rsidRPr="0033416C" w:rsidRDefault="0033416C" w:rsidP="0033416C">
      <w:pPr>
        <w:pStyle w:val="ListParagraph"/>
        <w:ind w:left="360"/>
        <w:jc w:val="both"/>
        <w:rPr>
          <w:rFonts w:cs="Arial"/>
        </w:rPr>
      </w:pPr>
      <w:r w:rsidRPr="0033416C">
        <w:rPr>
          <w:rFonts w:cs="Arial"/>
        </w:rPr>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w:t>
      </w:r>
      <w:r w:rsidRPr="0033416C">
        <w:rPr>
          <w:rFonts w:cs="Arial"/>
        </w:rPr>
        <w:lastRenderedPageBreak/>
        <w:t>and how it might impact the purchasers’ ability to utilize</w:t>
      </w:r>
      <w:r w:rsidRPr="0033416C">
        <w:t xml:space="preserve"> </w:t>
      </w:r>
      <w:r w:rsidRPr="0033416C">
        <w:rPr>
          <w:rFonts w:cs="Arial"/>
        </w:rPr>
        <w:t>the awards on this contract, please check with your Legal and/or Attorney General’s Office.</w:t>
      </w:r>
    </w:p>
    <w:p w14:paraId="70C1E7AC" w14:textId="77777777" w:rsidR="0006645F" w:rsidRDefault="0006645F" w:rsidP="00613E6E">
      <w:pPr>
        <w:pStyle w:val="ListParagraph"/>
        <w:ind w:left="360"/>
        <w:jc w:val="both"/>
        <w:rPr>
          <w:rFonts w:cs="Arial"/>
        </w:rPr>
      </w:pPr>
    </w:p>
    <w:p w14:paraId="413B0BFF" w14:textId="5B64B078" w:rsidR="0054058F" w:rsidRPr="00C4029F" w:rsidRDefault="00F914ED" w:rsidP="00816D70">
      <w:pPr>
        <w:pStyle w:val="Heading4"/>
        <w:numPr>
          <w:ilvl w:val="0"/>
          <w:numId w:val="1"/>
        </w:numPr>
        <w:ind w:left="360"/>
      </w:pPr>
      <w:bookmarkStart w:id="2" w:name="FAQ_3"/>
      <w:bookmarkStart w:id="3" w:name="FAQ_4"/>
      <w:bookmarkStart w:id="4" w:name="FAQ_5"/>
      <w:bookmarkEnd w:id="2"/>
      <w:bookmarkEnd w:id="3"/>
      <w:bookmarkEnd w:id="4"/>
      <w:r w:rsidRPr="00C4029F">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5D3582E1" w14:textId="77777777" w:rsidR="001D220F" w:rsidRDefault="001D220F" w:rsidP="00713641">
      <w:pPr>
        <w:pStyle w:val="ListParagraph"/>
        <w:ind w:left="360"/>
        <w:jc w:val="both"/>
        <w:rPr>
          <w:rFonts w:cs="Arial"/>
          <w:b/>
          <w:bCs/>
        </w:rPr>
      </w:pPr>
    </w:p>
    <w:p w14:paraId="093AA47C" w14:textId="59811885" w:rsid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w:t>
      </w:r>
      <w:r w:rsidR="000A5DEF">
        <w:rPr>
          <w:rFonts w:cs="Arial"/>
        </w:rPr>
        <w:t xml:space="preserve">of </w:t>
      </w:r>
      <w:r w:rsidRPr="0054058F">
        <w:rPr>
          <w:rFonts w:cs="Arial"/>
        </w:rPr>
        <w:t>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6193C39B" w14:textId="77777777" w:rsidR="003E7F81" w:rsidRDefault="003E7F81" w:rsidP="00713641">
      <w:pPr>
        <w:pStyle w:val="ListParagraph"/>
        <w:ind w:left="360"/>
        <w:jc w:val="both"/>
        <w:rPr>
          <w:rFonts w:cs="Arial"/>
        </w:rPr>
      </w:pPr>
    </w:p>
    <w:p w14:paraId="3BAA2C97" w14:textId="313887F8"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2"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724540D5" w14:textId="77777777" w:rsidR="00E617B4" w:rsidRDefault="00E617B4" w:rsidP="795427F0">
      <w:pPr>
        <w:pStyle w:val="ListParagraph"/>
        <w:ind w:left="360"/>
        <w:jc w:val="both"/>
        <w:rPr>
          <w:rFonts w:cs="Arial"/>
        </w:rPr>
      </w:pPr>
    </w:p>
    <w:p w14:paraId="3C1E0F30" w14:textId="77777777" w:rsidR="00E617B4" w:rsidRDefault="00E617B4" w:rsidP="00E617B4">
      <w:pPr>
        <w:pStyle w:val="ListParagraph"/>
        <w:ind w:left="360"/>
        <w:jc w:val="both"/>
        <w:rPr>
          <w:rStyle w:val="Hyperlink"/>
          <w:rFonts w:asciiTheme="majorHAnsi" w:hAnsiTheme="majorHAnsi" w:cstheme="majorHAnsi"/>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3" w:history="1">
        <w:r w:rsidRPr="00114333">
          <w:rPr>
            <w:rStyle w:val="Hyperlink"/>
            <w:rFonts w:asciiTheme="majorHAnsi" w:hAnsiTheme="majorHAnsi" w:cstheme="majorHAnsi"/>
          </w:rPr>
          <w:t>CUA Listing website.</w:t>
        </w:r>
      </w:hyperlink>
    </w:p>
    <w:p w14:paraId="659E6318" w14:textId="77777777" w:rsidR="00B557F9" w:rsidRDefault="00B557F9" w:rsidP="00E617B4">
      <w:pPr>
        <w:pStyle w:val="ListParagraph"/>
        <w:ind w:left="360"/>
        <w:jc w:val="both"/>
        <w:rPr>
          <w:rStyle w:val="Hyperlink"/>
          <w:rFonts w:asciiTheme="majorHAnsi" w:hAnsiTheme="majorHAnsi" w:cstheme="majorHAnsi"/>
        </w:rPr>
      </w:pPr>
    </w:p>
    <w:p w14:paraId="1FE54487" w14:textId="421830C9" w:rsidR="00B557F9" w:rsidRPr="00B557F9" w:rsidRDefault="00B557F9" w:rsidP="33A46CFA">
      <w:pPr>
        <w:pStyle w:val="Heading4"/>
        <w:ind w:left="360"/>
        <w:rPr>
          <w:rFonts w:cs="Arial"/>
          <w:sz w:val="22"/>
          <w:szCs w:val="22"/>
        </w:rPr>
      </w:pPr>
      <w:r w:rsidRPr="33A46CFA">
        <w:rPr>
          <w:rFonts w:cs="Arial"/>
          <w:sz w:val="22"/>
          <w:szCs w:val="22"/>
        </w:rPr>
        <w:t>Oregon Cooperative Procurement Program (ORCPP).</w:t>
      </w:r>
      <w:r w:rsidRPr="33A46CFA">
        <w:rPr>
          <w:rFonts w:cs="Arial"/>
          <w:b w:val="0"/>
          <w:bCs w:val="0"/>
          <w:sz w:val="22"/>
          <w:szCs w:val="22"/>
        </w:rPr>
        <w:t xml:space="preserve"> The </w:t>
      </w:r>
      <w:hyperlink r:id="rId14">
        <w:r w:rsidRPr="33A46CFA">
          <w:rPr>
            <w:rStyle w:val="Hyperlink"/>
            <w:rFonts w:cs="Arial"/>
            <w:b w:val="0"/>
            <w:bCs w:val="0"/>
            <w:sz w:val="22"/>
            <w:szCs w:val="22"/>
          </w:rPr>
          <w:t>ORCPP</w:t>
        </w:r>
      </w:hyperlink>
      <w:r w:rsidRPr="33A46CFA">
        <w:rPr>
          <w:rFonts w:cs="Arial"/>
          <w:b w:val="0"/>
          <w:bCs w:val="0"/>
          <w:sz w:val="22"/>
          <w:szCs w:val="22"/>
        </w:rPr>
        <w:t xml:space="preserve"> program allows qualifying </w:t>
      </w:r>
      <w:r w:rsidRPr="33A46CFA">
        <w:rPr>
          <w:b w:val="0"/>
          <w:bCs w:val="0"/>
          <w:sz w:val="22"/>
          <w:szCs w:val="22"/>
        </w:rPr>
        <w:t>agencies</w:t>
      </w:r>
      <w:r w:rsidRPr="33A46CFA">
        <w:rPr>
          <w:rFonts w:cs="Arial"/>
          <w:b w:val="0"/>
          <w:bCs w:val="0"/>
          <w:sz w:val="22"/>
          <w:szCs w:val="22"/>
        </w:rPr>
        <w:t xml:space="preserve"> and organizations to purchase goods and services from the </w:t>
      </w:r>
      <w:r w:rsidR="00A94AA5">
        <w:rPr>
          <w:rFonts w:cs="Arial"/>
          <w:b w:val="0"/>
          <w:bCs w:val="0"/>
          <w:sz w:val="22"/>
          <w:szCs w:val="22"/>
        </w:rPr>
        <w:t>29023</w:t>
      </w:r>
      <w:r w:rsidRPr="33A46CFA">
        <w:rPr>
          <w:rFonts w:cs="Arial"/>
          <w:b w:val="0"/>
          <w:bCs w:val="0"/>
          <w:sz w:val="22"/>
          <w:szCs w:val="22"/>
        </w:rPr>
        <w:t xml:space="preserve"> – </w:t>
      </w:r>
      <w:r w:rsidR="00A94AA5">
        <w:rPr>
          <w:rFonts w:cs="Arial"/>
          <w:b w:val="0"/>
          <w:bCs w:val="0"/>
          <w:sz w:val="22"/>
          <w:szCs w:val="22"/>
        </w:rPr>
        <w:t>Illumination Transportation and Traffic Systems Cooperative Purchasing Agreement</w:t>
      </w:r>
      <w:r w:rsidRPr="33A46CFA">
        <w:rPr>
          <w:rFonts w:cs="Arial"/>
          <w:b w:val="0"/>
          <w:bCs w:val="0"/>
          <w:sz w:val="22"/>
          <w:szCs w:val="22"/>
        </w:rPr>
        <w:t xml:space="preserve">. </w:t>
      </w:r>
    </w:p>
    <w:p w14:paraId="40E15777" w14:textId="77777777" w:rsidR="00B557F9" w:rsidRPr="00114333" w:rsidRDefault="00B557F9" w:rsidP="00E617B4">
      <w:pPr>
        <w:pStyle w:val="ListParagraph"/>
        <w:ind w:left="360"/>
        <w:jc w:val="both"/>
        <w:rPr>
          <w:rFonts w:asciiTheme="majorHAnsi" w:hAnsiTheme="majorHAnsi" w:cstheme="majorHAnsi"/>
          <w:lang w:val="x-none"/>
        </w:rPr>
      </w:pPr>
    </w:p>
    <w:p w14:paraId="40BC2A0B" w14:textId="1A160D89" w:rsidR="008D61A9" w:rsidRPr="00B557F9" w:rsidRDefault="00F914ED" w:rsidP="00816D70">
      <w:pPr>
        <w:pStyle w:val="Heading4"/>
        <w:numPr>
          <w:ilvl w:val="0"/>
          <w:numId w:val="1"/>
        </w:numPr>
        <w:ind w:left="360"/>
        <w:rPr>
          <w:sz w:val="22"/>
          <w:szCs w:val="22"/>
        </w:rPr>
      </w:pPr>
      <w:r w:rsidRPr="00B557F9">
        <w:rPr>
          <w:sz w:val="22"/>
          <w:szCs w:val="22"/>
        </w:rPr>
        <w:t>What is the pricing model?</w:t>
      </w:r>
    </w:p>
    <w:p w14:paraId="291EADC3" w14:textId="7B88E321" w:rsidR="00B557F9" w:rsidRPr="00B557F9" w:rsidRDefault="00AB6B06" w:rsidP="00B557F9">
      <w:pPr>
        <w:pStyle w:val="ListParagraph"/>
        <w:ind w:left="360"/>
        <w:jc w:val="both"/>
      </w:pPr>
      <w:r>
        <w:t xml:space="preserve">The pricing structure varies depending on category. </w:t>
      </w:r>
      <w:r>
        <w:rPr>
          <w:rFonts w:asciiTheme="majorHAnsi" w:eastAsia="Times New Roman" w:hAnsiTheme="majorHAnsi" w:cstheme="majorHAnsi"/>
          <w:lang w:bidi="ar-SA"/>
        </w:rPr>
        <w:t xml:space="preserve">Please visit the pricing sheet, located </w:t>
      </w:r>
      <w:r w:rsidRPr="00192195">
        <w:rPr>
          <w:rFonts w:asciiTheme="majorHAnsi" w:eastAsia="Times New Roman" w:hAnsiTheme="majorHAnsi" w:cstheme="majorHAnsi"/>
          <w:lang w:bidi="ar-SA"/>
        </w:rPr>
        <w:t>(</w:t>
      </w:r>
      <w:hyperlink r:id="rId15" w:history="1">
        <w:r w:rsidRPr="00192195">
          <w:rPr>
            <w:rStyle w:val="Hyperlink"/>
            <w:rFonts w:asciiTheme="majorHAnsi" w:eastAsia="Times New Roman" w:hAnsiTheme="majorHAnsi" w:cstheme="majorHAnsi"/>
            <w:lang w:bidi="ar-SA"/>
          </w:rPr>
          <w:t>HERE</w:t>
        </w:r>
      </w:hyperlink>
      <w:r w:rsidRPr="00192195">
        <w:rPr>
          <w:rFonts w:asciiTheme="majorHAnsi" w:eastAsia="Times New Roman" w:hAnsiTheme="majorHAnsi" w:cstheme="majorHAnsi"/>
          <w:lang w:bidi="ar-SA"/>
        </w:rPr>
        <w:t>)</w:t>
      </w:r>
      <w:r w:rsidR="00141FF0" w:rsidRPr="00192195">
        <w:rPr>
          <w:rFonts w:asciiTheme="majorHAnsi" w:eastAsia="Times New Roman" w:hAnsiTheme="majorHAnsi" w:cstheme="majorHAnsi"/>
          <w:lang w:bidi="ar-SA"/>
        </w:rPr>
        <w:t>, to vie</w:t>
      </w:r>
      <w:r w:rsidR="00141FF0" w:rsidRPr="00141FF0">
        <w:rPr>
          <w:rFonts w:asciiTheme="majorHAnsi" w:eastAsia="Times New Roman" w:hAnsiTheme="majorHAnsi" w:cstheme="majorHAnsi"/>
          <w:lang w:bidi="ar-SA"/>
        </w:rPr>
        <w:t>w appropriate pricing for each category</w:t>
      </w:r>
      <w:r w:rsidRPr="00141FF0">
        <w:rPr>
          <w:rFonts w:asciiTheme="majorHAnsi" w:eastAsia="Times New Roman" w:hAnsiTheme="majorHAnsi" w:cstheme="majorHAnsi"/>
          <w:lang w:bidi="ar-SA"/>
        </w:rPr>
        <w:t>.</w:t>
      </w:r>
    </w:p>
    <w:p w14:paraId="6EA3C9B5" w14:textId="77777777" w:rsidR="00B557F9" w:rsidRPr="00B557F9" w:rsidRDefault="00B557F9" w:rsidP="00B557F9">
      <w:pPr>
        <w:pStyle w:val="ListParagraph"/>
        <w:ind w:left="360"/>
        <w:jc w:val="both"/>
        <w:rPr>
          <w:rFonts w:cs="Arial"/>
        </w:rPr>
      </w:pPr>
    </w:p>
    <w:p w14:paraId="1F5F90EF" w14:textId="77777777" w:rsidR="00B557F9" w:rsidRPr="00B557F9" w:rsidRDefault="00B557F9" w:rsidP="00B557F9">
      <w:pPr>
        <w:pStyle w:val="Heading4"/>
        <w:numPr>
          <w:ilvl w:val="0"/>
          <w:numId w:val="1"/>
        </w:numPr>
        <w:ind w:left="360"/>
        <w:rPr>
          <w:b w:val="0"/>
          <w:bCs w:val="0"/>
          <w:sz w:val="22"/>
          <w:szCs w:val="22"/>
        </w:rPr>
      </w:pPr>
      <w:r w:rsidRPr="00B557F9">
        <w:rPr>
          <w:sz w:val="22"/>
          <w:szCs w:val="22"/>
        </w:rPr>
        <w:t xml:space="preserve">Minimum Order Requirements: </w:t>
      </w:r>
    </w:p>
    <w:p w14:paraId="6FC7A481" w14:textId="77777777" w:rsidR="00192195" w:rsidRDefault="00192195" w:rsidP="00B557F9">
      <w:pPr>
        <w:pStyle w:val="Heading4"/>
        <w:ind w:left="360"/>
        <w:rPr>
          <w:b w:val="0"/>
          <w:bCs w:val="0"/>
          <w:sz w:val="22"/>
          <w:szCs w:val="22"/>
        </w:rPr>
      </w:pPr>
      <w:r>
        <w:rPr>
          <w:b w:val="0"/>
          <w:bCs w:val="0"/>
          <w:sz w:val="22"/>
          <w:szCs w:val="22"/>
        </w:rPr>
        <w:t>Yes</w:t>
      </w:r>
      <w:r w:rsidR="00B557F9" w:rsidRPr="00B557F9">
        <w:rPr>
          <w:b w:val="0"/>
          <w:bCs w:val="0"/>
          <w:sz w:val="22"/>
          <w:szCs w:val="22"/>
        </w:rPr>
        <w:t>.</w:t>
      </w:r>
      <w:r>
        <w:rPr>
          <w:b w:val="0"/>
          <w:bCs w:val="0"/>
          <w:sz w:val="22"/>
          <w:szCs w:val="22"/>
        </w:rPr>
        <w:t xml:space="preserve"> </w:t>
      </w:r>
    </w:p>
    <w:p w14:paraId="18FCE5FD" w14:textId="06AB2C1A" w:rsidR="00B557F9" w:rsidRPr="00B557F9" w:rsidRDefault="00192195" w:rsidP="00B557F9">
      <w:pPr>
        <w:pStyle w:val="Heading4"/>
        <w:ind w:left="360"/>
        <w:rPr>
          <w:b w:val="0"/>
          <w:bCs w:val="0"/>
          <w:sz w:val="22"/>
          <w:szCs w:val="22"/>
        </w:rPr>
      </w:pPr>
      <w:r w:rsidRPr="00192195">
        <w:rPr>
          <w:b w:val="0"/>
          <w:bCs w:val="0"/>
          <w:sz w:val="22"/>
          <w:szCs w:val="22"/>
        </w:rPr>
        <w:t>MINIMUM ORDER REQUIREMENTS. The contractor shall maintain a minimum purchase requirement of $150.00 for each individual order placed under this contract. Orders that do not meet the minimum requirement of $150.00 will not be accepted. The contractor reserves the right to adjust product or service offerings as necessary to meet this minimum order value</w:t>
      </w:r>
    </w:p>
    <w:p w14:paraId="149F0CC0" w14:textId="77777777" w:rsidR="00B557F9" w:rsidRPr="00B557F9" w:rsidRDefault="00B557F9" w:rsidP="00B557F9"/>
    <w:p w14:paraId="28DFB9D9" w14:textId="54D23A00" w:rsidR="005D40ED" w:rsidRPr="00B557F9" w:rsidRDefault="00B557F9" w:rsidP="00B557F9">
      <w:pPr>
        <w:pStyle w:val="Heading4"/>
        <w:numPr>
          <w:ilvl w:val="0"/>
          <w:numId w:val="1"/>
        </w:numPr>
        <w:ind w:left="360"/>
        <w:rPr>
          <w:rFonts w:cs="Arial"/>
          <w:b w:val="0"/>
          <w:bCs w:val="0"/>
          <w:sz w:val="22"/>
          <w:szCs w:val="22"/>
        </w:rPr>
      </w:pPr>
      <w:r w:rsidRPr="00B557F9">
        <w:rPr>
          <w:sz w:val="22"/>
          <w:szCs w:val="22"/>
        </w:rPr>
        <w:t xml:space="preserve">Freight/Delivery Costs: </w:t>
      </w:r>
      <w:r w:rsidR="008F202C" w:rsidRPr="00B557F9">
        <w:rPr>
          <w:rFonts w:cs="Arial"/>
          <w:b w:val="0"/>
          <w:bCs w:val="0"/>
          <w:sz w:val="22"/>
          <w:szCs w:val="22"/>
        </w:rPr>
        <w:t>The</w:t>
      </w:r>
      <w:r w:rsidR="005D40ED" w:rsidRPr="00B557F9">
        <w:rPr>
          <w:rFonts w:cs="Arial"/>
          <w:b w:val="0"/>
          <w:bCs w:val="0"/>
          <w:sz w:val="22"/>
          <w:szCs w:val="22"/>
        </w:rPr>
        <w:t xml:space="preserve"> Contractor may add Freight/Delivery Costs as a separate line item to the invoice</w:t>
      </w:r>
      <w:r w:rsidR="00192195">
        <w:rPr>
          <w:rFonts w:cs="Arial"/>
          <w:b w:val="0"/>
          <w:bCs w:val="0"/>
          <w:sz w:val="22"/>
          <w:szCs w:val="22"/>
        </w:rPr>
        <w:t>; however, the Contractor shall include this upfront to avoid the Purchaser having to COD (cash on delivery)</w:t>
      </w:r>
      <w:r w:rsidR="005D40ED" w:rsidRPr="00B557F9">
        <w:rPr>
          <w:rFonts w:cs="Arial"/>
          <w:b w:val="0"/>
          <w:bCs w:val="0"/>
          <w:sz w:val="22"/>
          <w:szCs w:val="22"/>
        </w:rPr>
        <w:t>.  For invoices that include a Freight/</w:t>
      </w:r>
      <w:r w:rsidR="005D40ED" w:rsidRPr="00B557F9">
        <w:rPr>
          <w:b w:val="0"/>
          <w:bCs w:val="0"/>
          <w:sz w:val="22"/>
          <w:szCs w:val="22"/>
        </w:rPr>
        <w:t>Delivery</w:t>
      </w:r>
      <w:r w:rsidR="005D40ED" w:rsidRPr="00B557F9">
        <w:rPr>
          <w:rFonts w:cs="Arial"/>
          <w:b w:val="0"/>
          <w:bCs w:val="0"/>
          <w:sz w:val="22"/>
          <w:szCs w:val="22"/>
        </w:rPr>
        <w:t xml:space="preserve"> Costs line, a copy of the freight/delivery invoice must be provided to the Purchaser, either delivered with the goods or included with the invoice.  </w:t>
      </w:r>
    </w:p>
    <w:p w14:paraId="28581F74" w14:textId="77777777" w:rsidR="008D61A9" w:rsidRPr="00496A56" w:rsidRDefault="008D61A9" w:rsidP="006B1599">
      <w:pPr>
        <w:keepNext/>
        <w:jc w:val="both"/>
        <w:rPr>
          <w:rFonts w:cs="Arial"/>
        </w:rPr>
      </w:pPr>
    </w:p>
    <w:p w14:paraId="45BDC642" w14:textId="3E013AD1" w:rsidR="00943A53" w:rsidRDefault="00F914ED" w:rsidP="00816D70">
      <w:pPr>
        <w:pStyle w:val="Heading4"/>
        <w:numPr>
          <w:ilvl w:val="0"/>
          <w:numId w:val="1"/>
        </w:numPr>
        <w:ind w:left="360"/>
      </w:pPr>
      <w:bookmarkStart w:id="5" w:name="FAQ_7"/>
      <w:bookmarkEnd w:id="5"/>
      <w:r w:rsidRPr="00C4029F">
        <w:t>What</w:t>
      </w:r>
      <w:r w:rsidR="00943A53">
        <w:t xml:space="preserve"> if an Agency wants to make a payment using a credit card (P-card)? </w:t>
      </w:r>
    </w:p>
    <w:p w14:paraId="648BA371" w14:textId="69D06CEC" w:rsidR="00943A53" w:rsidRDefault="00076119" w:rsidP="00943A53">
      <w:pPr>
        <w:ind w:left="360"/>
        <w:jc w:val="both"/>
      </w:pPr>
      <w:r>
        <w:t xml:space="preserve">Contractors/Vendors </w:t>
      </w:r>
      <w:r w:rsidR="00943A53">
        <w:t xml:space="preserve">total price for the goods and/or services shall be the same regardless of whether the Purchaser makes a payment by cash, credit card, or electronic payment.   Some Contractors/Vendors prefer payments electronic payment; not all Contractors/Vendors accept credit card payments.   </w:t>
      </w:r>
    </w:p>
    <w:p w14:paraId="2BC5380F" w14:textId="77777777" w:rsidR="00927E91" w:rsidRDefault="00927E91" w:rsidP="00943A53">
      <w:pPr>
        <w:ind w:left="360"/>
        <w:jc w:val="both"/>
      </w:pPr>
    </w:p>
    <w:p w14:paraId="6BF40724" w14:textId="2ABAF349" w:rsidR="00927E91" w:rsidRDefault="00927E91" w:rsidP="00943A53">
      <w:pPr>
        <w:ind w:left="360"/>
        <w:jc w:val="both"/>
      </w:pPr>
      <w:r w:rsidRPr="00C17925">
        <w:rPr>
          <w:b/>
          <w:bCs/>
        </w:rPr>
        <w:t>NOTE</w:t>
      </w:r>
      <w:r>
        <w:t xml:space="preserve">:  </w:t>
      </w:r>
      <w:r w:rsidR="006D5D06">
        <w:t xml:space="preserve">No credit </w:t>
      </w:r>
      <w:r>
        <w:t xml:space="preserve">card fees </w:t>
      </w:r>
      <w:r w:rsidR="00F25486">
        <w:t>shall</w:t>
      </w:r>
      <w:r w:rsidR="006D5D06">
        <w:t xml:space="preserve"> be charged</w:t>
      </w:r>
      <w:r w:rsidR="003D4E25">
        <w:t xml:space="preserve"> </w:t>
      </w:r>
      <w:r w:rsidR="000F1321">
        <w:t>o</w:t>
      </w:r>
      <w:r w:rsidR="003D4E25">
        <w:t>r billed</w:t>
      </w:r>
      <w:r w:rsidR="006D5D06">
        <w:t xml:space="preserve"> to the</w:t>
      </w:r>
      <w:r w:rsidR="003D4E25">
        <w:t xml:space="preserve"> Purchaser. </w:t>
      </w:r>
      <w:r>
        <w:t xml:space="preserve"> </w:t>
      </w:r>
    </w:p>
    <w:p w14:paraId="0C0E616D" w14:textId="77777777" w:rsidR="00943A53" w:rsidRPr="00943A53" w:rsidRDefault="00943A53" w:rsidP="00943A53"/>
    <w:p w14:paraId="54EBFCDA" w14:textId="429B9628" w:rsidR="006F128F" w:rsidRDefault="00943A53" w:rsidP="00335661">
      <w:pPr>
        <w:pStyle w:val="Heading4"/>
        <w:numPr>
          <w:ilvl w:val="0"/>
          <w:numId w:val="1"/>
        </w:numPr>
        <w:ind w:left="360"/>
        <w:jc w:val="both"/>
      </w:pPr>
      <w:r>
        <w:t xml:space="preserve">What </w:t>
      </w:r>
      <w:r w:rsidR="00F914ED" w:rsidRPr="00C4029F">
        <w:t xml:space="preserve">are key performance commitments from </w:t>
      </w:r>
      <w:r w:rsidR="00A56010" w:rsidRPr="00C4029F">
        <w:t>c</w:t>
      </w:r>
      <w:r w:rsidR="00193BF4" w:rsidRPr="00C4029F">
        <w:t>ontractors</w:t>
      </w:r>
      <w:r w:rsidR="00E85402" w:rsidRPr="00C4029F">
        <w:t>?</w:t>
      </w:r>
    </w:p>
    <w:p w14:paraId="71ADC03B" w14:textId="41F4519E" w:rsidR="008D61A9" w:rsidRDefault="006F128F" w:rsidP="006F128F">
      <w:pPr>
        <w:ind w:left="360"/>
      </w:pPr>
      <w:r>
        <w:t>K</w:t>
      </w:r>
      <w:r w:rsidRPr="006F128F">
        <w:t>ey performance commitments focus on accurate and prompt quotes and invoicing, efficient delivery, timely communications, and exceptional customer service.</w:t>
      </w:r>
    </w:p>
    <w:p w14:paraId="531DB2D6" w14:textId="77777777" w:rsidR="006F128F" w:rsidRPr="00496A56" w:rsidRDefault="006F128F" w:rsidP="006F128F">
      <w:pPr>
        <w:ind w:left="360"/>
        <w:rPr>
          <w:rFonts w:cs="Arial"/>
        </w:rPr>
      </w:pPr>
    </w:p>
    <w:p w14:paraId="2792B701" w14:textId="3EC5FBF4" w:rsidR="00073B5E" w:rsidRDefault="00E61E1C" w:rsidP="000D1B25">
      <w:pPr>
        <w:pStyle w:val="Heading4"/>
        <w:numPr>
          <w:ilvl w:val="0"/>
          <w:numId w:val="1"/>
        </w:numPr>
        <w:ind w:left="360"/>
        <w:jc w:val="both"/>
      </w:pPr>
      <w:bookmarkStart w:id="6" w:name="FAQ_9"/>
      <w:bookmarkEnd w:id="6"/>
      <w:r>
        <w:t>How can I provide feedback about the Contractor</w:t>
      </w:r>
      <w:r w:rsidR="0094596E">
        <w:t>’</w:t>
      </w:r>
      <w:r>
        <w:t>s performance</w:t>
      </w:r>
      <w:r w:rsidR="0094596E">
        <w:t xml:space="preserve"> whether positive or negative</w:t>
      </w:r>
      <w:r w:rsidR="00073B5E">
        <w:t>?</w:t>
      </w:r>
    </w:p>
    <w:p w14:paraId="1FC9DE43" w14:textId="299622F6" w:rsidR="00594F54" w:rsidRDefault="00150B24" w:rsidP="00073B5E">
      <w:pPr>
        <w:ind w:left="360"/>
      </w:pPr>
      <w:r>
        <w:t>Complete the feedback form</w:t>
      </w:r>
      <w:r w:rsidR="00076668">
        <w:t xml:space="preserve"> and submit your comments:  </w:t>
      </w:r>
      <w:hyperlink r:id="rId16" w:history="1">
        <w:r w:rsidR="00823D6F">
          <w:rPr>
            <w:rStyle w:val="Hyperlink"/>
          </w:rPr>
          <w:t>Vendor and Contract Performance F</w:t>
        </w:r>
        <w:r w:rsidR="00594F54" w:rsidRPr="00594F54">
          <w:rPr>
            <w:rStyle w:val="Hyperlink"/>
          </w:rPr>
          <w:t>eedback</w:t>
        </w:r>
      </w:hyperlink>
      <w:r w:rsidR="00594F54">
        <w:t xml:space="preserve"> </w:t>
      </w:r>
    </w:p>
    <w:p w14:paraId="70A8B22A" w14:textId="77777777" w:rsidR="00823D6F" w:rsidRDefault="00823D6F" w:rsidP="00073B5E">
      <w:pPr>
        <w:ind w:left="360"/>
      </w:pPr>
    </w:p>
    <w:p w14:paraId="31B4802F" w14:textId="4D8EAFFD" w:rsidR="008D61A9" w:rsidRPr="00C4029F" w:rsidRDefault="00F914ED" w:rsidP="00C8304D">
      <w:pPr>
        <w:pStyle w:val="Heading4"/>
        <w:numPr>
          <w:ilvl w:val="0"/>
          <w:numId w:val="1"/>
        </w:numPr>
        <w:ind w:left="360"/>
        <w:jc w:val="both"/>
      </w:pPr>
      <w:r w:rsidRPr="00C4029F">
        <w:t xml:space="preserve">What should a </w:t>
      </w:r>
      <w:r w:rsidR="00F0133D" w:rsidRPr="00C4029F">
        <w:t xml:space="preserve">purchaser </w:t>
      </w:r>
      <w:r w:rsidRPr="00C4029F">
        <w:t xml:space="preserve">do if a </w:t>
      </w:r>
      <w:r w:rsidR="00F0133D" w:rsidRPr="00C4029F">
        <w:t xml:space="preserve">contractor </w:t>
      </w:r>
      <w:r w:rsidRPr="00C4029F">
        <w:t xml:space="preserve">is not performing?  Who should a </w:t>
      </w:r>
      <w:r w:rsidR="00F0133D" w:rsidRPr="00C4029F">
        <w:t xml:space="preserve">purchaser </w:t>
      </w:r>
      <w:r w:rsidRPr="00C4029F">
        <w:t xml:space="preserve">contact at </w:t>
      </w:r>
      <w:r w:rsidR="006B1599" w:rsidRPr="00C4029F">
        <w:t>Enterprise Services</w:t>
      </w:r>
      <w:r w:rsidRPr="00C4029F">
        <w:t xml:space="preserve"> or how to escalate a performance issue with the </w:t>
      </w:r>
      <w:r w:rsidR="00F0133D" w:rsidRPr="00C4029F">
        <w:t>contractor</w:t>
      </w:r>
      <w:r w:rsidRPr="00C4029F">
        <w:t>?</w:t>
      </w:r>
    </w:p>
    <w:p w14:paraId="5968ABD1" w14:textId="60725E1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pe</w:t>
      </w:r>
      <w:r w:rsidR="00FA6259">
        <w:rPr>
          <w:rFonts w:cs="Arial"/>
        </w:rPr>
        <w:t>r</w:t>
      </w:r>
      <w:r w:rsidRPr="7D94BEE5">
        <w:rPr>
          <w:rFonts w:cs="Arial"/>
        </w:rPr>
        <w:t>forming</w:t>
      </w:r>
      <w:r w:rsidR="089CA092" w:rsidRPr="7D94BEE5">
        <w:rPr>
          <w:rFonts w:cs="Arial"/>
        </w:rPr>
        <w:t>, the purchaser should first seek to resolve the issue directly with the contractor.</w:t>
      </w:r>
      <w:r w:rsidR="001D220F">
        <w:rPr>
          <w:rFonts w:cs="Arial"/>
        </w:rPr>
        <w:t xml:space="preserve"> </w:t>
      </w:r>
      <w:r w:rsidR="089CA092" w:rsidRPr="7D94BEE5">
        <w:rPr>
          <w:rFonts w:cs="Arial"/>
        </w:rPr>
        <w:t xml:space="preserve">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00FA6259">
        <w:rPr>
          <w:rFonts w:cs="Arial"/>
        </w:rPr>
        <w:t xml:space="preserv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contractor performance issues across purchasers to ensure good performance for all. </w:t>
      </w:r>
      <w:r w:rsidR="00FA6259">
        <w:rPr>
          <w:rFonts w:cs="Arial"/>
        </w:rPr>
        <w:t xml:space="preserve"> </w:t>
      </w:r>
      <w:r w:rsidR="400538B8" w:rsidRPr="7D94BEE5">
        <w:rPr>
          <w:rFonts w:cs="Arial"/>
        </w:rPr>
        <w:t>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09EEAEAC" w14:textId="77777777" w:rsidR="00FA7750" w:rsidRDefault="00FA7750" w:rsidP="00FA7750">
      <w:pPr>
        <w:ind w:left="360"/>
        <w:jc w:val="both"/>
        <w:rPr>
          <w:rFonts w:cs="Arial"/>
          <w:color w:val="212529"/>
          <w:shd w:val="clear" w:color="auto" w:fill="FFFFFF"/>
        </w:rPr>
      </w:pPr>
    </w:p>
    <w:p w14:paraId="24AFB46C" w14:textId="77777777" w:rsidR="00FA7750" w:rsidRPr="00C4029F" w:rsidRDefault="00FA7750" w:rsidP="00FA7750">
      <w:pPr>
        <w:pStyle w:val="Heading4"/>
        <w:numPr>
          <w:ilvl w:val="0"/>
          <w:numId w:val="1"/>
        </w:numPr>
        <w:ind w:left="360"/>
      </w:pPr>
      <w:bookmarkStart w:id="7" w:name="FAQ_8"/>
      <w:bookmarkEnd w:id="7"/>
      <w:r w:rsidRPr="00C4029F">
        <w:t>How do I get involved with or participate in developing the solicitation that will replace this contract?</w:t>
      </w:r>
    </w:p>
    <w:p w14:paraId="03A96157" w14:textId="77777777" w:rsidR="00FA7750" w:rsidRPr="00496A56" w:rsidRDefault="00FA7750" w:rsidP="00FA7750">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7" w:history="1">
        <w:r w:rsidRPr="00F639EA">
          <w:rPr>
            <w:rStyle w:val="Hyperlink"/>
            <w:rFonts w:cs="Arial"/>
          </w:rPr>
          <w:t>planned procurement</w:t>
        </w:r>
      </w:hyperlink>
      <w:r>
        <w:rPr>
          <w:rFonts w:cs="Arial"/>
        </w:rPr>
        <w:t xml:space="preserve"> page.  If you are interested in participating, please contact the contract administrator listed on that page.</w:t>
      </w:r>
    </w:p>
    <w:p w14:paraId="19217A90" w14:textId="77777777" w:rsidR="002C38A8" w:rsidRPr="00005A8A" w:rsidRDefault="002C38A8" w:rsidP="002C38A8">
      <w:pPr>
        <w:pStyle w:val="ListParagraph"/>
        <w:ind w:left="360"/>
        <w:jc w:val="both"/>
        <w:rPr>
          <w:rFonts w:cs="Arial"/>
          <w:bCs/>
        </w:rPr>
      </w:pPr>
    </w:p>
    <w:p w14:paraId="58C34E3F" w14:textId="77777777" w:rsidR="008D61A9" w:rsidRPr="00496A56" w:rsidRDefault="008D61A9" w:rsidP="006355B8">
      <w:pPr>
        <w:jc w:val="both"/>
        <w:rPr>
          <w:rFonts w:cs="Arial"/>
        </w:rPr>
      </w:pPr>
    </w:p>
    <w:p w14:paraId="579DBD6C" w14:textId="5263A559" w:rsidR="008D61A9" w:rsidRPr="006355B8" w:rsidRDefault="00193BF4" w:rsidP="009E7CB8">
      <w:pPr>
        <w:pStyle w:val="Heading2"/>
      </w:pPr>
      <w:r w:rsidRPr="006355B8">
        <w:t>Contractor</w:t>
      </w:r>
      <w:r w:rsidR="008D61A9" w:rsidRPr="006355B8">
        <w:t xml:space="preserve"> Related</w:t>
      </w:r>
    </w:p>
    <w:p w14:paraId="5978BFB6" w14:textId="77777777" w:rsidR="008D61A9" w:rsidRPr="00C722DC" w:rsidRDefault="008D61A9" w:rsidP="008D61A9">
      <w:pPr>
        <w:ind w:left="360"/>
        <w:jc w:val="both"/>
        <w:rPr>
          <w:rFonts w:cs="Arial"/>
          <w:bCs/>
        </w:rPr>
      </w:pPr>
    </w:p>
    <w:p w14:paraId="085F7D0A" w14:textId="54F740E1" w:rsidR="008D61A9" w:rsidRPr="00C4029F" w:rsidRDefault="00F914ED" w:rsidP="00816D70">
      <w:pPr>
        <w:pStyle w:val="Heading4"/>
        <w:numPr>
          <w:ilvl w:val="0"/>
          <w:numId w:val="2"/>
        </w:numPr>
        <w:ind w:left="360"/>
      </w:pPr>
      <w:bookmarkStart w:id="8" w:name="FAQ_10"/>
      <w:bookmarkEnd w:id="8"/>
      <w:r w:rsidRPr="00C4029F">
        <w:t xml:space="preserve">When can </w:t>
      </w:r>
      <w:r w:rsidR="00EE1022">
        <w:t xml:space="preserve">my Firm </w:t>
      </w:r>
      <w:r w:rsidR="005478AD">
        <w:t xml:space="preserve">be </w:t>
      </w:r>
      <w:r w:rsidRPr="00C4029F">
        <w:t xml:space="preserve">added </w:t>
      </w:r>
      <w:r w:rsidR="005478AD">
        <w:t xml:space="preserve">as a Contractor </w:t>
      </w:r>
      <w:r w:rsidRPr="00C4029F">
        <w:t>to the contract?</w:t>
      </w:r>
    </w:p>
    <w:p w14:paraId="1AD694B9" w14:textId="6C0C775A" w:rsidR="008E57B9" w:rsidRDefault="21E46551" w:rsidP="00613E6E">
      <w:pPr>
        <w:pStyle w:val="ListParagraph"/>
        <w:ind w:left="360"/>
        <w:jc w:val="both"/>
      </w:pPr>
      <w:r>
        <w:t xml:space="preserve">Contracts </w:t>
      </w:r>
      <w:r w:rsidR="001A34F0">
        <w:t>are</w:t>
      </w:r>
      <w:r>
        <w:t xml:space="preserve"> awarded</w:t>
      </w:r>
      <w:r w:rsidR="001A34F0">
        <w:t xml:space="preserve"> only</w:t>
      </w:r>
      <w:r>
        <w:t xml:space="preserve"> to contractors </w:t>
      </w:r>
      <w:r w:rsidR="001A34F0">
        <w:t>who</w:t>
      </w:r>
      <w:r>
        <w:t xml:space="preserve"> submit</w:t>
      </w:r>
      <w:r w:rsidR="004A613D">
        <w:t>ted</w:t>
      </w:r>
      <w:r>
        <w:t xml:space="preserve"> a bid </w:t>
      </w:r>
      <w:r w:rsidR="00264684">
        <w:t>at the time</w:t>
      </w:r>
      <w:r>
        <w:t xml:space="preserve"> the </w:t>
      </w:r>
      <w:r w:rsidR="00A22441">
        <w:t xml:space="preserve">competitive </w:t>
      </w:r>
      <w:r w:rsidR="008C7A1E">
        <w:t>solicitation</w:t>
      </w:r>
      <w:r w:rsidR="00A22441">
        <w:t xml:space="preserve"> </w:t>
      </w:r>
      <w:r w:rsidR="004A613D">
        <w:t>wa</w:t>
      </w:r>
      <w:r>
        <w:t xml:space="preserve">s posted to WEBS. </w:t>
      </w:r>
    </w:p>
    <w:p w14:paraId="10847CC4" w14:textId="77777777" w:rsidR="008E57B9" w:rsidRDefault="008E57B9" w:rsidP="00613E6E">
      <w:pPr>
        <w:pStyle w:val="ListParagraph"/>
        <w:ind w:left="360"/>
        <w:jc w:val="both"/>
      </w:pPr>
    </w:p>
    <w:p w14:paraId="2F6F0B7F" w14:textId="434AF8C4" w:rsidR="002A27A1" w:rsidRPr="003E4661" w:rsidRDefault="21E46551" w:rsidP="00613E6E">
      <w:pPr>
        <w:pStyle w:val="ListParagraph"/>
        <w:ind w:left="360"/>
        <w:jc w:val="both"/>
      </w:pPr>
      <w:r>
        <w:t xml:space="preserve">Contracts for the state are awarded through a competitive solicitation process via </w:t>
      </w:r>
      <w:r w:rsidR="004A613D">
        <w:t>the</w:t>
      </w:r>
      <w:r>
        <w:t xml:space="preserve"> </w:t>
      </w:r>
      <w:hyperlink r:id="rId18">
        <w:r w:rsidRPr="7D94BEE5">
          <w:rPr>
            <w:rStyle w:val="Hyperlink"/>
          </w:rPr>
          <w:t>online solicitation system WEBS.</w:t>
        </w:r>
      </w:hyperlink>
      <w:r>
        <w:t xml:space="preserve"> </w:t>
      </w:r>
      <w:r w:rsidR="00FA6259">
        <w:t xml:space="preserve"> </w:t>
      </w:r>
      <w:r w:rsidR="008E4AE9" w:rsidRPr="003E4661">
        <w:t xml:space="preserve">Is your company registered in WEBS?   If not, please consider registering, as </w:t>
      </w:r>
      <w:hyperlink r:id="rId19" w:history="1">
        <w:r w:rsidR="008E4AE9" w:rsidRPr="003E4661">
          <w:rPr>
            <w:rStyle w:val="Hyperlink"/>
          </w:rPr>
          <w:t>WEBS</w:t>
        </w:r>
      </w:hyperlink>
      <w:r w:rsidR="008E4AE9" w:rsidRPr="003E4661">
        <w:t xml:space="preserve"> is where all Enterprise Services official communications is posted</w:t>
      </w:r>
      <w:r w:rsidR="00540E59" w:rsidRPr="003E4661">
        <w:t xml:space="preserve">.  </w:t>
      </w:r>
      <w:r w:rsidR="002A3477" w:rsidRPr="003E4661">
        <w:t>Enterprise Services</w:t>
      </w:r>
      <w:r w:rsidRPr="003E4661">
        <w:t xml:space="preserve"> has a </w:t>
      </w:r>
      <w:hyperlink r:id="rId20">
        <w:r w:rsidRPr="003E4661">
          <w:rPr>
            <w:rStyle w:val="Hyperlink"/>
          </w:rPr>
          <w:t>registration page</w:t>
        </w:r>
      </w:hyperlink>
      <w:r w:rsidRPr="003E4661">
        <w:t xml:space="preserve"> that explains the registration process</w:t>
      </w:r>
      <w:r w:rsidR="6D98443F" w:rsidRPr="003E4661">
        <w:t xml:space="preserve">.  </w:t>
      </w:r>
      <w:r w:rsidRPr="003E4661">
        <w:t>If you have questions on the registration process</w:t>
      </w:r>
      <w:r w:rsidR="089CA092" w:rsidRPr="003E4661">
        <w:t>,</w:t>
      </w:r>
      <w:r w:rsidRPr="003E4661">
        <w:t xml:space="preserve"> please contact </w:t>
      </w:r>
      <w:hyperlink r:id="rId21">
        <w:r w:rsidRPr="003E4661">
          <w:rPr>
            <w:rStyle w:val="Hyperlink"/>
          </w:rPr>
          <w:t>WEBS customer service</w:t>
        </w:r>
      </w:hyperlink>
      <w:r w:rsidRPr="003E4661">
        <w:t>, (360) 902-7400.</w:t>
      </w:r>
    </w:p>
    <w:p w14:paraId="6AFB87B8" w14:textId="77777777" w:rsidR="001D220F" w:rsidRPr="00496A56" w:rsidRDefault="001D220F" w:rsidP="00613E6E">
      <w:pPr>
        <w:pStyle w:val="ListParagraph"/>
        <w:ind w:left="360"/>
        <w:jc w:val="both"/>
      </w:pPr>
    </w:p>
    <w:p w14:paraId="5218CD32" w14:textId="04083355" w:rsidR="002A27A1" w:rsidRPr="00496A56" w:rsidRDefault="005E7119" w:rsidP="00613E6E">
      <w:pPr>
        <w:pStyle w:val="ListParagraph"/>
        <w:ind w:left="360"/>
        <w:jc w:val="both"/>
      </w:pPr>
      <w:r>
        <w:t>Enterprise Services</w:t>
      </w:r>
      <w:r w:rsidR="21E46551">
        <w:t xml:space="preserve"> also has information on </w:t>
      </w:r>
      <w:hyperlink r:id="rId22">
        <w:r w:rsidR="21E46551" w:rsidRPr="7D94BEE5">
          <w:rPr>
            <w:rStyle w:val="Hyperlink"/>
          </w:rPr>
          <w:t>doing business with the state</w:t>
        </w:r>
      </w:hyperlink>
      <w:r w:rsidR="21E46551">
        <w:t xml:space="preserve"> for review. There is also a page on </w:t>
      </w:r>
      <w:hyperlink r:id="rId23">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05BC725F" w14:textId="38B66B5B" w:rsidR="008D61A9" w:rsidRPr="00C4029F" w:rsidRDefault="00F914ED" w:rsidP="00816D70">
      <w:pPr>
        <w:pStyle w:val="Heading4"/>
        <w:numPr>
          <w:ilvl w:val="0"/>
          <w:numId w:val="2"/>
        </w:numPr>
        <w:ind w:left="360"/>
      </w:pPr>
      <w:bookmarkStart w:id="9" w:name="FAQ_11"/>
      <w:bookmarkEnd w:id="9"/>
      <w:r w:rsidRPr="00C4029F">
        <w:t>Who do I contact if I have</w:t>
      </w:r>
      <w:r w:rsidR="00EF548C">
        <w:t xml:space="preserve"> an</w:t>
      </w:r>
      <w:r w:rsidRPr="00C4029F">
        <w:t xml:space="preserve"> invoice or </w:t>
      </w:r>
      <w:r w:rsidR="00F3769C" w:rsidRPr="00C4029F">
        <w:t>v</w:t>
      </w:r>
      <w:r w:rsidR="00AB3B0A" w:rsidRPr="00C4029F">
        <w:t xml:space="preserve">endor </w:t>
      </w:r>
      <w:r w:rsidR="00F3769C" w:rsidRPr="00C4029F">
        <w:t>m</w:t>
      </w:r>
      <w:r w:rsidR="00AB3B0A" w:rsidRPr="00C4029F">
        <w:t>anagement</w:t>
      </w:r>
      <w:r w:rsidRPr="00C4029F">
        <w:t xml:space="preserve"> fee </w:t>
      </w:r>
      <w:r w:rsidR="00EF548C">
        <w:t xml:space="preserve">(VMF) </w:t>
      </w:r>
      <w:r w:rsidRPr="00C4029F">
        <w:t>question?</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0340FD41" w:rsidR="008D61A9" w:rsidRPr="00C4029F" w:rsidRDefault="00F914ED" w:rsidP="00816D70">
      <w:pPr>
        <w:pStyle w:val="Heading4"/>
        <w:numPr>
          <w:ilvl w:val="0"/>
          <w:numId w:val="2"/>
        </w:numPr>
        <w:ind w:left="360"/>
      </w:pPr>
      <w:bookmarkStart w:id="10" w:name="FAQ_12"/>
      <w:bookmarkEnd w:id="10"/>
      <w:r w:rsidRPr="00C4029F">
        <w:t>When are quarterly sales reporting due?</w:t>
      </w:r>
    </w:p>
    <w:p w14:paraId="0B66223E" w14:textId="5B5C29D5" w:rsid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p w14:paraId="35B2FCA2" w14:textId="77777777" w:rsidR="005F5FED" w:rsidRDefault="005F5FED" w:rsidP="00496A56">
      <w:pPr>
        <w:ind w:left="360"/>
        <w:jc w:val="both"/>
        <w:rPr>
          <w:rFonts w:cs="Arial"/>
        </w:rPr>
      </w:pPr>
    </w:p>
    <w:tbl>
      <w:tblPr>
        <w:tblStyle w:val="TableGrid1"/>
        <w:tblW w:w="0" w:type="auto"/>
        <w:tblInd w:w="1327"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1170"/>
        <w:gridCol w:w="2520"/>
        <w:gridCol w:w="1440"/>
        <w:gridCol w:w="1620"/>
      </w:tblGrid>
      <w:tr w:rsidR="00810B08" w:rsidRPr="00810B08" w14:paraId="48E83E14" w14:textId="77777777" w:rsidTr="009F3D0F">
        <w:trPr>
          <w:cantSplit/>
          <w:tblHeader/>
        </w:trPr>
        <w:tc>
          <w:tcPr>
            <w:tcW w:w="1170" w:type="dxa"/>
            <w:vMerge w:val="restart"/>
            <w:shd w:val="clear" w:color="auto" w:fill="DBE5F1"/>
            <w:vAlign w:val="center"/>
          </w:tcPr>
          <w:p w14:paraId="6D75E52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Quarter</w:t>
            </w:r>
          </w:p>
        </w:tc>
        <w:tc>
          <w:tcPr>
            <w:tcW w:w="2520" w:type="dxa"/>
            <w:vMerge w:val="restart"/>
            <w:shd w:val="clear" w:color="auto" w:fill="DBE5F1"/>
            <w:vAlign w:val="center"/>
          </w:tcPr>
          <w:p w14:paraId="5EE4598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For Sales Made In Calendar Quarter</w:t>
            </w:r>
          </w:p>
        </w:tc>
        <w:tc>
          <w:tcPr>
            <w:tcW w:w="3060" w:type="dxa"/>
            <w:gridSpan w:val="2"/>
            <w:shd w:val="clear" w:color="auto" w:fill="DBE5F1"/>
            <w:vAlign w:val="center"/>
          </w:tcPr>
          <w:p w14:paraId="794AE2B5"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Contract Sales Report</w:t>
            </w:r>
          </w:p>
        </w:tc>
      </w:tr>
      <w:tr w:rsidR="00810B08" w:rsidRPr="00810B08" w14:paraId="1BA9976B" w14:textId="77777777" w:rsidTr="009F3D0F">
        <w:trPr>
          <w:cantSplit/>
          <w:tblHeader/>
        </w:trPr>
        <w:tc>
          <w:tcPr>
            <w:tcW w:w="1170" w:type="dxa"/>
            <w:vMerge/>
            <w:shd w:val="clear" w:color="auto" w:fill="DBE5F1"/>
            <w:vAlign w:val="center"/>
          </w:tcPr>
          <w:p w14:paraId="10A256B7" w14:textId="77777777" w:rsidR="00810B08" w:rsidRPr="00810B08" w:rsidRDefault="00810B08" w:rsidP="00810B08">
            <w:pPr>
              <w:spacing w:before="60" w:after="60"/>
              <w:jc w:val="center"/>
              <w:rPr>
                <w:rFonts w:ascii="Calibri" w:eastAsia="Times New Roman" w:hAnsi="Calibri" w:cs="Calibri"/>
                <w:bCs/>
                <w:smallCaps/>
              </w:rPr>
            </w:pPr>
          </w:p>
        </w:tc>
        <w:tc>
          <w:tcPr>
            <w:tcW w:w="2520" w:type="dxa"/>
            <w:vMerge/>
            <w:shd w:val="clear" w:color="auto" w:fill="DBE5F1"/>
            <w:vAlign w:val="center"/>
          </w:tcPr>
          <w:p w14:paraId="3EE56EF7" w14:textId="77777777" w:rsidR="00810B08" w:rsidRPr="00810B08" w:rsidRDefault="00810B08" w:rsidP="00810B08">
            <w:pPr>
              <w:spacing w:before="60" w:after="60"/>
              <w:jc w:val="center"/>
              <w:rPr>
                <w:rFonts w:ascii="Calibri" w:eastAsia="Times New Roman" w:hAnsi="Calibri" w:cs="Calibri"/>
                <w:bCs/>
                <w:smallCaps/>
              </w:rPr>
            </w:pPr>
          </w:p>
        </w:tc>
        <w:tc>
          <w:tcPr>
            <w:tcW w:w="1440" w:type="dxa"/>
            <w:shd w:val="clear" w:color="auto" w:fill="DBE5F1"/>
            <w:vAlign w:val="center"/>
          </w:tcPr>
          <w:p w14:paraId="02DED45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Due By</w:t>
            </w:r>
          </w:p>
        </w:tc>
        <w:tc>
          <w:tcPr>
            <w:tcW w:w="1620" w:type="dxa"/>
            <w:shd w:val="clear" w:color="auto" w:fill="DBE5F1"/>
            <w:vAlign w:val="center"/>
          </w:tcPr>
          <w:p w14:paraId="3984186B"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Past Due</w:t>
            </w:r>
          </w:p>
        </w:tc>
      </w:tr>
      <w:tr w:rsidR="00810B08" w:rsidRPr="00810B08" w14:paraId="66009DE5" w14:textId="77777777" w:rsidTr="009F3D0F">
        <w:tc>
          <w:tcPr>
            <w:tcW w:w="1170" w:type="dxa"/>
            <w:vAlign w:val="center"/>
          </w:tcPr>
          <w:p w14:paraId="5422A67B"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1</w:t>
            </w:r>
          </w:p>
        </w:tc>
        <w:tc>
          <w:tcPr>
            <w:tcW w:w="2520" w:type="dxa"/>
            <w:vAlign w:val="center"/>
          </w:tcPr>
          <w:p w14:paraId="5059A8E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January 1 – March 31</w:t>
            </w:r>
          </w:p>
        </w:tc>
        <w:tc>
          <w:tcPr>
            <w:tcW w:w="1440" w:type="dxa"/>
            <w:shd w:val="clear" w:color="auto" w:fill="EAF1DD"/>
            <w:vAlign w:val="center"/>
          </w:tcPr>
          <w:p w14:paraId="1AB0A4AB"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April 30</w:t>
            </w:r>
          </w:p>
        </w:tc>
        <w:tc>
          <w:tcPr>
            <w:tcW w:w="1620" w:type="dxa"/>
            <w:shd w:val="clear" w:color="auto" w:fill="FFCCCC"/>
            <w:vAlign w:val="center"/>
          </w:tcPr>
          <w:p w14:paraId="05AA014D"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May 1</w:t>
            </w:r>
          </w:p>
        </w:tc>
      </w:tr>
      <w:tr w:rsidR="00810B08" w:rsidRPr="00810B08" w14:paraId="6CE16B2A" w14:textId="77777777" w:rsidTr="009F3D0F">
        <w:tc>
          <w:tcPr>
            <w:tcW w:w="1170" w:type="dxa"/>
            <w:vAlign w:val="center"/>
          </w:tcPr>
          <w:p w14:paraId="40B63980"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2</w:t>
            </w:r>
          </w:p>
        </w:tc>
        <w:tc>
          <w:tcPr>
            <w:tcW w:w="2520" w:type="dxa"/>
            <w:vAlign w:val="center"/>
          </w:tcPr>
          <w:p w14:paraId="29C8BF24"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April 1 – June 30</w:t>
            </w:r>
          </w:p>
        </w:tc>
        <w:tc>
          <w:tcPr>
            <w:tcW w:w="1440" w:type="dxa"/>
            <w:shd w:val="clear" w:color="auto" w:fill="EAF1DD"/>
            <w:vAlign w:val="center"/>
          </w:tcPr>
          <w:p w14:paraId="1559812D"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July 31</w:t>
            </w:r>
          </w:p>
        </w:tc>
        <w:tc>
          <w:tcPr>
            <w:tcW w:w="1620" w:type="dxa"/>
            <w:shd w:val="clear" w:color="auto" w:fill="FFCCCC"/>
            <w:vAlign w:val="center"/>
          </w:tcPr>
          <w:p w14:paraId="25BD5E8F"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August 1</w:t>
            </w:r>
          </w:p>
        </w:tc>
      </w:tr>
      <w:tr w:rsidR="00810B08" w:rsidRPr="00810B08" w14:paraId="3D4C1B7E" w14:textId="77777777" w:rsidTr="009F3D0F">
        <w:tc>
          <w:tcPr>
            <w:tcW w:w="1170" w:type="dxa"/>
            <w:vAlign w:val="center"/>
          </w:tcPr>
          <w:p w14:paraId="1ED91495"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3</w:t>
            </w:r>
          </w:p>
        </w:tc>
        <w:tc>
          <w:tcPr>
            <w:tcW w:w="2520" w:type="dxa"/>
            <w:vAlign w:val="center"/>
          </w:tcPr>
          <w:p w14:paraId="08F7686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July 1 – September 30</w:t>
            </w:r>
          </w:p>
        </w:tc>
        <w:tc>
          <w:tcPr>
            <w:tcW w:w="1440" w:type="dxa"/>
            <w:shd w:val="clear" w:color="auto" w:fill="EAF1DD"/>
            <w:vAlign w:val="center"/>
          </w:tcPr>
          <w:p w14:paraId="166C1952"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October 31</w:t>
            </w:r>
          </w:p>
        </w:tc>
        <w:tc>
          <w:tcPr>
            <w:tcW w:w="1620" w:type="dxa"/>
            <w:shd w:val="clear" w:color="auto" w:fill="FFCCCC"/>
            <w:vAlign w:val="center"/>
          </w:tcPr>
          <w:p w14:paraId="4C142E96"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November 1</w:t>
            </w:r>
          </w:p>
        </w:tc>
      </w:tr>
      <w:tr w:rsidR="00810B08" w:rsidRPr="00810B08" w14:paraId="5297CB45" w14:textId="77777777" w:rsidTr="009F3D0F">
        <w:tc>
          <w:tcPr>
            <w:tcW w:w="1170" w:type="dxa"/>
            <w:vAlign w:val="center"/>
          </w:tcPr>
          <w:p w14:paraId="2BC772F0"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4</w:t>
            </w:r>
          </w:p>
        </w:tc>
        <w:tc>
          <w:tcPr>
            <w:tcW w:w="2520" w:type="dxa"/>
            <w:vAlign w:val="center"/>
          </w:tcPr>
          <w:p w14:paraId="1D912394"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October 1 – December 31</w:t>
            </w:r>
          </w:p>
        </w:tc>
        <w:tc>
          <w:tcPr>
            <w:tcW w:w="1440" w:type="dxa"/>
            <w:shd w:val="clear" w:color="auto" w:fill="EAF1DD"/>
            <w:vAlign w:val="center"/>
          </w:tcPr>
          <w:p w14:paraId="640E95B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January 31</w:t>
            </w:r>
          </w:p>
        </w:tc>
        <w:tc>
          <w:tcPr>
            <w:tcW w:w="1620" w:type="dxa"/>
            <w:shd w:val="clear" w:color="auto" w:fill="FFCCCC"/>
            <w:vAlign w:val="center"/>
          </w:tcPr>
          <w:p w14:paraId="1E919898"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February 1</w:t>
            </w:r>
          </w:p>
        </w:tc>
      </w:tr>
    </w:tbl>
    <w:p w14:paraId="740DEF5B" w14:textId="77777777" w:rsidR="00C71357" w:rsidRDefault="00C71357" w:rsidP="008D61A9">
      <w:pPr>
        <w:ind w:left="360"/>
        <w:jc w:val="both"/>
        <w:rPr>
          <w:rFonts w:cs="Arial"/>
          <w:bCs/>
        </w:rPr>
      </w:pPr>
    </w:p>
    <w:p w14:paraId="7E1B54C0" w14:textId="23E3C51F" w:rsidR="005F5FED" w:rsidRPr="00D044EF" w:rsidRDefault="00D044EF" w:rsidP="008D61A9">
      <w:pPr>
        <w:ind w:left="360"/>
        <w:jc w:val="both"/>
        <w:rPr>
          <w:rFonts w:cs="Arial"/>
          <w:bCs/>
        </w:rPr>
      </w:pPr>
      <w:r w:rsidRPr="00D044EF">
        <w:rPr>
          <w:rFonts w:cs="Arial"/>
          <w:bCs/>
        </w:rPr>
        <w:t xml:space="preserve">Contractor shall pay to Enterprise Services a </w:t>
      </w:r>
      <w:r w:rsidR="00392460">
        <w:rPr>
          <w:rFonts w:cs="Arial"/>
          <w:bCs/>
        </w:rPr>
        <w:t>V</w:t>
      </w:r>
      <w:r w:rsidRPr="00D044EF">
        <w:rPr>
          <w:rFonts w:cs="Arial"/>
          <w:bCs/>
        </w:rPr>
        <w:t xml:space="preserve">endor </w:t>
      </w:r>
      <w:r w:rsidR="00392460">
        <w:rPr>
          <w:rFonts w:cs="Arial"/>
          <w:bCs/>
        </w:rPr>
        <w:t>M</w:t>
      </w:r>
      <w:r w:rsidRPr="00D044EF">
        <w:rPr>
          <w:rFonts w:cs="Arial"/>
          <w:bCs/>
        </w:rPr>
        <w:t xml:space="preserve">anagement </w:t>
      </w:r>
      <w:r w:rsidR="00392460">
        <w:rPr>
          <w:rFonts w:cs="Arial"/>
          <w:bCs/>
        </w:rPr>
        <w:t>F</w:t>
      </w:r>
      <w:r w:rsidRPr="00D044EF">
        <w:rPr>
          <w:rFonts w:cs="Arial"/>
          <w:bCs/>
        </w:rPr>
        <w:t>ee (“VMF”) of 1.25 percent on the purchase price for all Contract sales (the purchase price is the total invoice price less applicable sales tax).</w:t>
      </w:r>
    </w:p>
    <w:p w14:paraId="321EED99" w14:textId="77777777" w:rsidR="00D044EF" w:rsidRDefault="00D044EF"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1"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1"/>
      <w:r w:rsidRPr="00A375E7">
        <w:rPr>
          <w:rFonts w:cs="Arial"/>
        </w:rPr>
        <w:t xml:space="preserve"> which has the following general </w:t>
      </w:r>
      <w:hyperlink r:id="rId24"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21698EDE" w:rsidR="008D61A9" w:rsidRPr="00C4029F" w:rsidRDefault="00F914ED" w:rsidP="00816D70">
      <w:pPr>
        <w:pStyle w:val="Heading4"/>
        <w:numPr>
          <w:ilvl w:val="0"/>
          <w:numId w:val="2"/>
        </w:numPr>
        <w:ind w:left="360"/>
      </w:pPr>
      <w:bookmarkStart w:id="12" w:name="FAQ_13"/>
      <w:bookmarkEnd w:id="12"/>
      <w:r w:rsidRPr="00C4029F">
        <w:t xml:space="preserve">When are </w:t>
      </w:r>
      <w:r w:rsidR="00FA6259">
        <w:t>V</w:t>
      </w:r>
      <w:r w:rsidR="00F3769C" w:rsidRPr="00C4029F">
        <w:t xml:space="preserve">endor </w:t>
      </w:r>
      <w:r w:rsidR="00FA6259">
        <w:t>M</w:t>
      </w:r>
      <w:r w:rsidR="00A375E7" w:rsidRPr="00C4029F">
        <w:t xml:space="preserve">anagement </w:t>
      </w:r>
      <w:r w:rsidR="00FA6259">
        <w:t>F</w:t>
      </w:r>
      <w:r w:rsidR="00A375E7" w:rsidRPr="00C4029F">
        <w:t>ee</w:t>
      </w:r>
      <w:r w:rsidR="00FA6259">
        <w:t xml:space="preserve"> (VMF)</w:t>
      </w:r>
      <w:r w:rsidR="00A375E7" w:rsidRPr="00C4029F">
        <w:t xml:space="preserve"> </w:t>
      </w:r>
      <w:r w:rsidRPr="00C4029F">
        <w:t>invoices due?</w:t>
      </w:r>
    </w:p>
    <w:p w14:paraId="40BE18EA" w14:textId="2CCE197C"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00FA6259">
        <w:t xml:space="preserve">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w:t>
      </w:r>
      <w:r w:rsidR="00FA6259">
        <w:rPr>
          <w:rFonts w:cs="Arial"/>
        </w:rPr>
        <w:t xml:space="preserve"> </w:t>
      </w:r>
      <w:r w:rsidRPr="00496A56">
        <w:rPr>
          <w:rFonts w:cs="Arial"/>
        </w:rPr>
        <w:t>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 xml:space="preserve">management fee </w:t>
      </w:r>
      <w:r w:rsidR="00457012">
        <w:rPr>
          <w:rFonts w:cs="Arial"/>
        </w:rPr>
        <w:t xml:space="preserve">(VMF) </w:t>
      </w:r>
      <w:r w:rsidR="00A375E7">
        <w:rPr>
          <w:rFonts w:cs="Arial"/>
        </w:rPr>
        <w:t>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7D9280F4" w:rsidR="008D61A9" w:rsidRPr="00C4029F" w:rsidRDefault="00F914ED" w:rsidP="00816D70">
      <w:pPr>
        <w:pStyle w:val="Heading4"/>
        <w:numPr>
          <w:ilvl w:val="0"/>
          <w:numId w:val="2"/>
        </w:numPr>
        <w:ind w:left="360"/>
      </w:pPr>
      <w:bookmarkStart w:id="13" w:name="FAQ_14"/>
      <w:bookmarkEnd w:id="13"/>
      <w:r w:rsidRPr="00C4029F">
        <w:t xml:space="preserve">Who do I </w:t>
      </w:r>
      <w:r w:rsidR="00F3769C" w:rsidRPr="00C4029F">
        <w:t xml:space="preserve">contact </w:t>
      </w:r>
      <w:r w:rsidRPr="00C4029F">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06E25025" w:rsidR="002C38A8" w:rsidRPr="00C4029F" w:rsidRDefault="00F914ED" w:rsidP="00816D70">
      <w:pPr>
        <w:pStyle w:val="Heading4"/>
        <w:numPr>
          <w:ilvl w:val="0"/>
          <w:numId w:val="2"/>
        </w:numPr>
        <w:ind w:left="360"/>
      </w:pPr>
      <w:bookmarkStart w:id="14" w:name="FAQ_15"/>
      <w:bookmarkEnd w:id="14"/>
      <w:r w:rsidRPr="00C4029F">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5"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6" w:history="1">
        <w:hyperlink r:id="rId27"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3BD19417" w14:textId="6F2993B7" w:rsidR="005C1F0E" w:rsidRDefault="005C1F0E" w:rsidP="005C1F0E">
      <w:pPr>
        <w:ind w:left="360"/>
        <w:jc w:val="both"/>
        <w:rPr>
          <w:rFonts w:cs="Arial"/>
        </w:rPr>
      </w:pPr>
    </w:p>
    <w:sectPr w:rsidR="005C1F0E" w:rsidSect="00114333">
      <w:footerReference w:type="default" r:id="rId28"/>
      <w:headerReference w:type="first" r:id="rId29"/>
      <w:footerReference w:type="first" r:id="rId30"/>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C897" w14:textId="77777777" w:rsidR="00924FC4" w:rsidRDefault="00924FC4" w:rsidP="0030407E">
      <w:r>
        <w:separator/>
      </w:r>
    </w:p>
  </w:endnote>
  <w:endnote w:type="continuationSeparator" w:id="0">
    <w:p w14:paraId="6AED86AD" w14:textId="77777777" w:rsidR="00924FC4" w:rsidRDefault="00924FC4" w:rsidP="0030407E">
      <w:r>
        <w:continuationSeparator/>
      </w:r>
    </w:p>
  </w:endnote>
  <w:endnote w:type="continuationNotice" w:id="1">
    <w:p w14:paraId="05A86345" w14:textId="77777777" w:rsidR="00924FC4" w:rsidRDefault="00924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23D72B5C" w:rsidR="002D44CF" w:rsidRPr="0074484A" w:rsidRDefault="002D44CF" w:rsidP="0030407E">
    <w:pPr>
      <w:pStyle w:val="Footer"/>
      <w:rPr>
        <w:sz w:val="20"/>
      </w:rPr>
    </w:pPr>
    <w:r>
      <w:rPr>
        <w:sz w:val="20"/>
      </w:rPr>
      <w:t xml:space="preserve">Contract No. </w:t>
    </w:r>
    <w:r w:rsidR="00141FF0">
      <w:rPr>
        <w:sz w:val="20"/>
      </w:rPr>
      <w:t>29023</w:t>
    </w:r>
    <w:r w:rsidR="00A4598A">
      <w:rPr>
        <w:sz w:val="20"/>
      </w:rPr>
      <w:t xml:space="preserve"> </w:t>
    </w:r>
    <w:r w:rsidR="00141FF0">
      <w:rPr>
        <w:sz w:val="20"/>
      </w:rPr>
      <w:t>Illumination Transportation and Traffic Systems</w:t>
    </w:r>
    <w:r w:rsidR="00A4598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5C646F1E"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9D00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1D2A16">
      <w:rPr>
        <w:sz w:val="20"/>
      </w:rPr>
      <w:t xml:space="preserve">Contract No. </w:t>
    </w:r>
    <w:r w:rsidR="00A94AA5">
      <w:rPr>
        <w:sz w:val="20"/>
      </w:rPr>
      <w:t>29023</w:t>
    </w:r>
    <w:r w:rsidR="001D2A16">
      <w:rPr>
        <w:sz w:val="20"/>
      </w:rPr>
      <w:t xml:space="preserve"> </w:t>
    </w:r>
    <w:r w:rsidR="00790F8B">
      <w:rPr>
        <w:sz w:val="20"/>
      </w:rPr>
      <w:t xml:space="preserve">– </w:t>
    </w:r>
    <w:r w:rsidR="00A94AA5">
      <w:rPr>
        <w:sz w:val="20"/>
      </w:rPr>
      <w:t>Illumination Transportation and Traffic Systems</w:t>
    </w:r>
    <w:r w:rsidR="00790F8B">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7C8B" w14:textId="77777777" w:rsidR="00924FC4" w:rsidRDefault="00924FC4" w:rsidP="0030407E">
      <w:r>
        <w:separator/>
      </w:r>
    </w:p>
  </w:footnote>
  <w:footnote w:type="continuationSeparator" w:id="0">
    <w:p w14:paraId="332F43B3" w14:textId="77777777" w:rsidR="00924FC4" w:rsidRDefault="00924FC4" w:rsidP="0030407E">
      <w:r>
        <w:continuationSeparator/>
      </w:r>
    </w:p>
  </w:footnote>
  <w:footnote w:type="continuationNotice" w:id="1">
    <w:p w14:paraId="6AAFCFFA" w14:textId="77777777" w:rsidR="00924FC4" w:rsidRDefault="00924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628"/>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B6245"/>
    <w:multiLevelType w:val="hybridMultilevel"/>
    <w:tmpl w:val="562C6770"/>
    <w:lvl w:ilvl="0" w:tplc="4CC0C9F6">
      <w:start w:val="1"/>
      <w:numFmt w:val="decimal"/>
      <w:lvlText w:val="%1."/>
      <w:lvlJc w:val="left"/>
      <w:pPr>
        <w:ind w:left="720" w:hanging="360"/>
      </w:pPr>
      <w:rPr>
        <w:rFonts w:cstheme="maj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35642"/>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AB06B4"/>
    <w:multiLevelType w:val="hybridMultilevel"/>
    <w:tmpl w:val="B5ECD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C72EC8"/>
    <w:multiLevelType w:val="hybridMultilevel"/>
    <w:tmpl w:val="6D9E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46460"/>
    <w:multiLevelType w:val="multilevel"/>
    <w:tmpl w:val="5F2464F6"/>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rPr>
        <w:rFonts w:hint="default"/>
      </w:r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A6A3433"/>
    <w:multiLevelType w:val="hybridMultilevel"/>
    <w:tmpl w:val="69068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4036218">
    <w:abstractNumId w:val="1"/>
  </w:num>
  <w:num w:numId="2" w16cid:durableId="532886175">
    <w:abstractNumId w:val="4"/>
  </w:num>
  <w:num w:numId="3" w16cid:durableId="259022858">
    <w:abstractNumId w:val="3"/>
  </w:num>
  <w:num w:numId="4" w16cid:durableId="1356734407">
    <w:abstractNumId w:val="5"/>
  </w:num>
  <w:num w:numId="5" w16cid:durableId="2050102135">
    <w:abstractNumId w:val="2"/>
  </w:num>
  <w:num w:numId="6" w16cid:durableId="1513448576">
    <w:abstractNumId w:val="0"/>
  </w:num>
  <w:num w:numId="7" w16cid:durableId="161566942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05A8A"/>
    <w:rsid w:val="0001320B"/>
    <w:rsid w:val="00013566"/>
    <w:rsid w:val="0002341B"/>
    <w:rsid w:val="00025C39"/>
    <w:rsid w:val="000274A3"/>
    <w:rsid w:val="0003177C"/>
    <w:rsid w:val="00033DAF"/>
    <w:rsid w:val="00040082"/>
    <w:rsid w:val="00042FBC"/>
    <w:rsid w:val="00044F7B"/>
    <w:rsid w:val="000453C3"/>
    <w:rsid w:val="00045550"/>
    <w:rsid w:val="00046FC8"/>
    <w:rsid w:val="000611DC"/>
    <w:rsid w:val="00062987"/>
    <w:rsid w:val="000642F1"/>
    <w:rsid w:val="0006645F"/>
    <w:rsid w:val="00071B4C"/>
    <w:rsid w:val="00073B5E"/>
    <w:rsid w:val="00074E24"/>
    <w:rsid w:val="00076119"/>
    <w:rsid w:val="00076668"/>
    <w:rsid w:val="000842A8"/>
    <w:rsid w:val="000921D0"/>
    <w:rsid w:val="00092C9A"/>
    <w:rsid w:val="000A103C"/>
    <w:rsid w:val="000A46FF"/>
    <w:rsid w:val="000A5DEF"/>
    <w:rsid w:val="000B3750"/>
    <w:rsid w:val="000B60DC"/>
    <w:rsid w:val="000C39BD"/>
    <w:rsid w:val="000C3DDF"/>
    <w:rsid w:val="000D0E99"/>
    <w:rsid w:val="000D1729"/>
    <w:rsid w:val="000E1576"/>
    <w:rsid w:val="000E2AE1"/>
    <w:rsid w:val="000E4E7B"/>
    <w:rsid w:val="000F1321"/>
    <w:rsid w:val="000F53C5"/>
    <w:rsid w:val="00104E23"/>
    <w:rsid w:val="001078C1"/>
    <w:rsid w:val="00114333"/>
    <w:rsid w:val="00116CEC"/>
    <w:rsid w:val="00122EB7"/>
    <w:rsid w:val="001258E2"/>
    <w:rsid w:val="00130909"/>
    <w:rsid w:val="0013107C"/>
    <w:rsid w:val="00132A51"/>
    <w:rsid w:val="001367C4"/>
    <w:rsid w:val="001368D8"/>
    <w:rsid w:val="00141FF0"/>
    <w:rsid w:val="00144F7C"/>
    <w:rsid w:val="001477A8"/>
    <w:rsid w:val="00150B24"/>
    <w:rsid w:val="001517EB"/>
    <w:rsid w:val="00156743"/>
    <w:rsid w:val="0016150B"/>
    <w:rsid w:val="00161B5A"/>
    <w:rsid w:val="00165F84"/>
    <w:rsid w:val="00175A99"/>
    <w:rsid w:val="00176C33"/>
    <w:rsid w:val="00182860"/>
    <w:rsid w:val="0018734A"/>
    <w:rsid w:val="00190890"/>
    <w:rsid w:val="00192195"/>
    <w:rsid w:val="001924C4"/>
    <w:rsid w:val="00193BF4"/>
    <w:rsid w:val="001A1A61"/>
    <w:rsid w:val="001A34F0"/>
    <w:rsid w:val="001B4373"/>
    <w:rsid w:val="001B60F6"/>
    <w:rsid w:val="001B70C7"/>
    <w:rsid w:val="001B7213"/>
    <w:rsid w:val="001C44A1"/>
    <w:rsid w:val="001D06F4"/>
    <w:rsid w:val="001D220F"/>
    <w:rsid w:val="001D2A16"/>
    <w:rsid w:val="001D58FE"/>
    <w:rsid w:val="001E031F"/>
    <w:rsid w:val="001E0AA4"/>
    <w:rsid w:val="001E674D"/>
    <w:rsid w:val="001E6F5A"/>
    <w:rsid w:val="001F020F"/>
    <w:rsid w:val="00205398"/>
    <w:rsid w:val="00206AEB"/>
    <w:rsid w:val="0021176E"/>
    <w:rsid w:val="00215625"/>
    <w:rsid w:val="002305B5"/>
    <w:rsid w:val="00230BE1"/>
    <w:rsid w:val="00233EAC"/>
    <w:rsid w:val="002355F5"/>
    <w:rsid w:val="0024396B"/>
    <w:rsid w:val="00246118"/>
    <w:rsid w:val="00246275"/>
    <w:rsid w:val="00246486"/>
    <w:rsid w:val="00252AEB"/>
    <w:rsid w:val="0025692A"/>
    <w:rsid w:val="002577A1"/>
    <w:rsid w:val="00264684"/>
    <w:rsid w:val="00267A8B"/>
    <w:rsid w:val="0027215D"/>
    <w:rsid w:val="0027231B"/>
    <w:rsid w:val="00284E62"/>
    <w:rsid w:val="002923DE"/>
    <w:rsid w:val="002A1832"/>
    <w:rsid w:val="002A27A1"/>
    <w:rsid w:val="002A3477"/>
    <w:rsid w:val="002A3BFB"/>
    <w:rsid w:val="002A4447"/>
    <w:rsid w:val="002A759C"/>
    <w:rsid w:val="002B1724"/>
    <w:rsid w:val="002C38A8"/>
    <w:rsid w:val="002C5B4E"/>
    <w:rsid w:val="002C6FB2"/>
    <w:rsid w:val="002D20B3"/>
    <w:rsid w:val="002D3B68"/>
    <w:rsid w:val="002D44CF"/>
    <w:rsid w:val="002F6803"/>
    <w:rsid w:val="0030247C"/>
    <w:rsid w:val="0030407E"/>
    <w:rsid w:val="003046E4"/>
    <w:rsid w:val="00307008"/>
    <w:rsid w:val="003122C3"/>
    <w:rsid w:val="00316987"/>
    <w:rsid w:val="00322640"/>
    <w:rsid w:val="00322731"/>
    <w:rsid w:val="00332798"/>
    <w:rsid w:val="0033416C"/>
    <w:rsid w:val="003370E5"/>
    <w:rsid w:val="00345886"/>
    <w:rsid w:val="00351602"/>
    <w:rsid w:val="00370C53"/>
    <w:rsid w:val="00372D60"/>
    <w:rsid w:val="00374865"/>
    <w:rsid w:val="00377C4A"/>
    <w:rsid w:val="00380899"/>
    <w:rsid w:val="003816B1"/>
    <w:rsid w:val="00392460"/>
    <w:rsid w:val="00393AC3"/>
    <w:rsid w:val="003A1E56"/>
    <w:rsid w:val="003A3EFC"/>
    <w:rsid w:val="003A60D9"/>
    <w:rsid w:val="003B1EAA"/>
    <w:rsid w:val="003B778D"/>
    <w:rsid w:val="003C089A"/>
    <w:rsid w:val="003C104F"/>
    <w:rsid w:val="003C2E0A"/>
    <w:rsid w:val="003D2E29"/>
    <w:rsid w:val="003D39F4"/>
    <w:rsid w:val="003D4E25"/>
    <w:rsid w:val="003D7E6B"/>
    <w:rsid w:val="003E00EC"/>
    <w:rsid w:val="003E135D"/>
    <w:rsid w:val="003E4661"/>
    <w:rsid w:val="003E7F81"/>
    <w:rsid w:val="003F49D5"/>
    <w:rsid w:val="003F5FF5"/>
    <w:rsid w:val="0040066B"/>
    <w:rsid w:val="00400D67"/>
    <w:rsid w:val="00412318"/>
    <w:rsid w:val="0041429B"/>
    <w:rsid w:val="00415BB4"/>
    <w:rsid w:val="0041688F"/>
    <w:rsid w:val="00417C4D"/>
    <w:rsid w:val="00423094"/>
    <w:rsid w:val="00432786"/>
    <w:rsid w:val="00432CAA"/>
    <w:rsid w:val="00436D8D"/>
    <w:rsid w:val="0044139A"/>
    <w:rsid w:val="00442D1A"/>
    <w:rsid w:val="00445081"/>
    <w:rsid w:val="00445910"/>
    <w:rsid w:val="004476BE"/>
    <w:rsid w:val="00447A8B"/>
    <w:rsid w:val="00457012"/>
    <w:rsid w:val="00462FAF"/>
    <w:rsid w:val="00463812"/>
    <w:rsid w:val="00466A41"/>
    <w:rsid w:val="00472B31"/>
    <w:rsid w:val="004744C8"/>
    <w:rsid w:val="00476A5E"/>
    <w:rsid w:val="00476FBB"/>
    <w:rsid w:val="00477D53"/>
    <w:rsid w:val="0048059B"/>
    <w:rsid w:val="00481B74"/>
    <w:rsid w:val="004834F0"/>
    <w:rsid w:val="004860F2"/>
    <w:rsid w:val="00487E93"/>
    <w:rsid w:val="00496A56"/>
    <w:rsid w:val="004A1E40"/>
    <w:rsid w:val="004A22EC"/>
    <w:rsid w:val="004A613D"/>
    <w:rsid w:val="004B07C3"/>
    <w:rsid w:val="004B6416"/>
    <w:rsid w:val="004D0505"/>
    <w:rsid w:val="004D4FA2"/>
    <w:rsid w:val="004D51BD"/>
    <w:rsid w:val="004E32C4"/>
    <w:rsid w:val="004E5D15"/>
    <w:rsid w:val="004E7DF7"/>
    <w:rsid w:val="004F1118"/>
    <w:rsid w:val="004F3597"/>
    <w:rsid w:val="004F3D30"/>
    <w:rsid w:val="004F4CCD"/>
    <w:rsid w:val="00500499"/>
    <w:rsid w:val="00500948"/>
    <w:rsid w:val="00504EF3"/>
    <w:rsid w:val="00510A28"/>
    <w:rsid w:val="0051202E"/>
    <w:rsid w:val="00517E0A"/>
    <w:rsid w:val="00540487"/>
    <w:rsid w:val="0054058F"/>
    <w:rsid w:val="00540DD1"/>
    <w:rsid w:val="00540E59"/>
    <w:rsid w:val="005462CA"/>
    <w:rsid w:val="005478AD"/>
    <w:rsid w:val="00562C76"/>
    <w:rsid w:val="00566639"/>
    <w:rsid w:val="00571DED"/>
    <w:rsid w:val="00573AF9"/>
    <w:rsid w:val="005818C3"/>
    <w:rsid w:val="005908A0"/>
    <w:rsid w:val="005919F6"/>
    <w:rsid w:val="00592722"/>
    <w:rsid w:val="00594B0E"/>
    <w:rsid w:val="00594F54"/>
    <w:rsid w:val="005A060E"/>
    <w:rsid w:val="005A3E26"/>
    <w:rsid w:val="005B348D"/>
    <w:rsid w:val="005B6944"/>
    <w:rsid w:val="005C17E9"/>
    <w:rsid w:val="005C1F0E"/>
    <w:rsid w:val="005D0747"/>
    <w:rsid w:val="005D11BC"/>
    <w:rsid w:val="005D145A"/>
    <w:rsid w:val="005D40ED"/>
    <w:rsid w:val="005E547E"/>
    <w:rsid w:val="005E6784"/>
    <w:rsid w:val="005E7119"/>
    <w:rsid w:val="005F156C"/>
    <w:rsid w:val="005F2B09"/>
    <w:rsid w:val="005F5B07"/>
    <w:rsid w:val="005F5FED"/>
    <w:rsid w:val="005F764D"/>
    <w:rsid w:val="00600C32"/>
    <w:rsid w:val="00606BF3"/>
    <w:rsid w:val="0061361C"/>
    <w:rsid w:val="00613E6E"/>
    <w:rsid w:val="006150CF"/>
    <w:rsid w:val="00620B02"/>
    <w:rsid w:val="00625668"/>
    <w:rsid w:val="00632702"/>
    <w:rsid w:val="006355B8"/>
    <w:rsid w:val="006439FA"/>
    <w:rsid w:val="006452FE"/>
    <w:rsid w:val="00660F98"/>
    <w:rsid w:val="00665C1F"/>
    <w:rsid w:val="00673D38"/>
    <w:rsid w:val="0069044E"/>
    <w:rsid w:val="00693A78"/>
    <w:rsid w:val="006A057F"/>
    <w:rsid w:val="006A1559"/>
    <w:rsid w:val="006A3425"/>
    <w:rsid w:val="006B1599"/>
    <w:rsid w:val="006B3F8E"/>
    <w:rsid w:val="006B712B"/>
    <w:rsid w:val="006C185D"/>
    <w:rsid w:val="006C2B57"/>
    <w:rsid w:val="006C4F0B"/>
    <w:rsid w:val="006D44D3"/>
    <w:rsid w:val="006D5D06"/>
    <w:rsid w:val="006E5559"/>
    <w:rsid w:val="006F128F"/>
    <w:rsid w:val="0070330D"/>
    <w:rsid w:val="007066A6"/>
    <w:rsid w:val="00713641"/>
    <w:rsid w:val="00725C1E"/>
    <w:rsid w:val="00726E71"/>
    <w:rsid w:val="0073112A"/>
    <w:rsid w:val="0073113B"/>
    <w:rsid w:val="007373D1"/>
    <w:rsid w:val="007406AB"/>
    <w:rsid w:val="007412A2"/>
    <w:rsid w:val="0074484A"/>
    <w:rsid w:val="007462AD"/>
    <w:rsid w:val="007469A1"/>
    <w:rsid w:val="007531B2"/>
    <w:rsid w:val="00753414"/>
    <w:rsid w:val="007552B3"/>
    <w:rsid w:val="00762773"/>
    <w:rsid w:val="00764D7C"/>
    <w:rsid w:val="007709AB"/>
    <w:rsid w:val="00774B12"/>
    <w:rsid w:val="00777D8C"/>
    <w:rsid w:val="007819A4"/>
    <w:rsid w:val="00790F8B"/>
    <w:rsid w:val="007A4105"/>
    <w:rsid w:val="007C7707"/>
    <w:rsid w:val="007D1A57"/>
    <w:rsid w:val="007F5B26"/>
    <w:rsid w:val="00803D5D"/>
    <w:rsid w:val="0080526C"/>
    <w:rsid w:val="00807F65"/>
    <w:rsid w:val="00810002"/>
    <w:rsid w:val="00810411"/>
    <w:rsid w:val="00810B08"/>
    <w:rsid w:val="008131E7"/>
    <w:rsid w:val="00816D70"/>
    <w:rsid w:val="00823D6F"/>
    <w:rsid w:val="00832D22"/>
    <w:rsid w:val="00842A8E"/>
    <w:rsid w:val="008455F0"/>
    <w:rsid w:val="00845889"/>
    <w:rsid w:val="0084688A"/>
    <w:rsid w:val="008546DD"/>
    <w:rsid w:val="0085548F"/>
    <w:rsid w:val="00863805"/>
    <w:rsid w:val="00863D0D"/>
    <w:rsid w:val="00871406"/>
    <w:rsid w:val="00872DF8"/>
    <w:rsid w:val="00873FD0"/>
    <w:rsid w:val="00877461"/>
    <w:rsid w:val="008811A0"/>
    <w:rsid w:val="00884294"/>
    <w:rsid w:val="00884E12"/>
    <w:rsid w:val="00884FFA"/>
    <w:rsid w:val="0088589C"/>
    <w:rsid w:val="00894381"/>
    <w:rsid w:val="008951B8"/>
    <w:rsid w:val="0089644F"/>
    <w:rsid w:val="008975BA"/>
    <w:rsid w:val="008A2EE6"/>
    <w:rsid w:val="008B0469"/>
    <w:rsid w:val="008B100D"/>
    <w:rsid w:val="008B2167"/>
    <w:rsid w:val="008C19B0"/>
    <w:rsid w:val="008C25DC"/>
    <w:rsid w:val="008C41C6"/>
    <w:rsid w:val="008C7A1E"/>
    <w:rsid w:val="008D61A9"/>
    <w:rsid w:val="008D61CD"/>
    <w:rsid w:val="008E2D92"/>
    <w:rsid w:val="008E4AE9"/>
    <w:rsid w:val="008E57B9"/>
    <w:rsid w:val="008F18B3"/>
    <w:rsid w:val="008F202C"/>
    <w:rsid w:val="008F43CF"/>
    <w:rsid w:val="008F53BF"/>
    <w:rsid w:val="00904DDA"/>
    <w:rsid w:val="0090621B"/>
    <w:rsid w:val="0091313F"/>
    <w:rsid w:val="00924FC4"/>
    <w:rsid w:val="00927E91"/>
    <w:rsid w:val="009315CD"/>
    <w:rsid w:val="009319A0"/>
    <w:rsid w:val="00933D11"/>
    <w:rsid w:val="00935DEC"/>
    <w:rsid w:val="00940AD0"/>
    <w:rsid w:val="00943106"/>
    <w:rsid w:val="00943A53"/>
    <w:rsid w:val="009454A4"/>
    <w:rsid w:val="0094596E"/>
    <w:rsid w:val="00955874"/>
    <w:rsid w:val="0096015A"/>
    <w:rsid w:val="0096215A"/>
    <w:rsid w:val="00964469"/>
    <w:rsid w:val="00965EBF"/>
    <w:rsid w:val="009714C5"/>
    <w:rsid w:val="00972253"/>
    <w:rsid w:val="00973532"/>
    <w:rsid w:val="00976283"/>
    <w:rsid w:val="0098273F"/>
    <w:rsid w:val="00983D0F"/>
    <w:rsid w:val="00986C3C"/>
    <w:rsid w:val="00987347"/>
    <w:rsid w:val="00994CF2"/>
    <w:rsid w:val="009A0990"/>
    <w:rsid w:val="009A5BFB"/>
    <w:rsid w:val="009B687A"/>
    <w:rsid w:val="009B77B0"/>
    <w:rsid w:val="009C7624"/>
    <w:rsid w:val="009D13A1"/>
    <w:rsid w:val="009D19A4"/>
    <w:rsid w:val="009D1E9A"/>
    <w:rsid w:val="009D3569"/>
    <w:rsid w:val="009E2E9D"/>
    <w:rsid w:val="009E3C82"/>
    <w:rsid w:val="009E7CB8"/>
    <w:rsid w:val="009F1036"/>
    <w:rsid w:val="009F3D0F"/>
    <w:rsid w:val="009F4230"/>
    <w:rsid w:val="009F45B0"/>
    <w:rsid w:val="009F4A39"/>
    <w:rsid w:val="00A00CF5"/>
    <w:rsid w:val="00A05F8E"/>
    <w:rsid w:val="00A0747E"/>
    <w:rsid w:val="00A1262D"/>
    <w:rsid w:val="00A204E9"/>
    <w:rsid w:val="00A22441"/>
    <w:rsid w:val="00A258CA"/>
    <w:rsid w:val="00A30BB0"/>
    <w:rsid w:val="00A30DC8"/>
    <w:rsid w:val="00A3352E"/>
    <w:rsid w:val="00A374B0"/>
    <w:rsid w:val="00A375E7"/>
    <w:rsid w:val="00A412E1"/>
    <w:rsid w:val="00A4598A"/>
    <w:rsid w:val="00A5333D"/>
    <w:rsid w:val="00A56010"/>
    <w:rsid w:val="00A636ED"/>
    <w:rsid w:val="00A673C9"/>
    <w:rsid w:val="00A743B5"/>
    <w:rsid w:val="00A8040C"/>
    <w:rsid w:val="00A92C9D"/>
    <w:rsid w:val="00A94AA5"/>
    <w:rsid w:val="00AA2021"/>
    <w:rsid w:val="00AB177B"/>
    <w:rsid w:val="00AB3B0A"/>
    <w:rsid w:val="00AB6B06"/>
    <w:rsid w:val="00AC22B7"/>
    <w:rsid w:val="00AC4497"/>
    <w:rsid w:val="00AC4C37"/>
    <w:rsid w:val="00AC6634"/>
    <w:rsid w:val="00AC75A9"/>
    <w:rsid w:val="00AC7EA4"/>
    <w:rsid w:val="00AD1B4E"/>
    <w:rsid w:val="00B10023"/>
    <w:rsid w:val="00B23E37"/>
    <w:rsid w:val="00B24269"/>
    <w:rsid w:val="00B30D69"/>
    <w:rsid w:val="00B32821"/>
    <w:rsid w:val="00B32A28"/>
    <w:rsid w:val="00B408B9"/>
    <w:rsid w:val="00B445FE"/>
    <w:rsid w:val="00B4620E"/>
    <w:rsid w:val="00B51E1E"/>
    <w:rsid w:val="00B557F9"/>
    <w:rsid w:val="00B6247D"/>
    <w:rsid w:val="00B663AD"/>
    <w:rsid w:val="00B6685D"/>
    <w:rsid w:val="00B724ED"/>
    <w:rsid w:val="00B74029"/>
    <w:rsid w:val="00B83632"/>
    <w:rsid w:val="00B9222A"/>
    <w:rsid w:val="00B9676E"/>
    <w:rsid w:val="00BA0D17"/>
    <w:rsid w:val="00BA3470"/>
    <w:rsid w:val="00BA6B07"/>
    <w:rsid w:val="00BB0C1C"/>
    <w:rsid w:val="00BB0F7D"/>
    <w:rsid w:val="00BB7C1B"/>
    <w:rsid w:val="00BD0524"/>
    <w:rsid w:val="00BD2558"/>
    <w:rsid w:val="00BD57FF"/>
    <w:rsid w:val="00BD5917"/>
    <w:rsid w:val="00BD6D69"/>
    <w:rsid w:val="00BE61E5"/>
    <w:rsid w:val="00BF4617"/>
    <w:rsid w:val="00BF628A"/>
    <w:rsid w:val="00C06015"/>
    <w:rsid w:val="00C130B7"/>
    <w:rsid w:val="00C17745"/>
    <w:rsid w:val="00C17925"/>
    <w:rsid w:val="00C218C3"/>
    <w:rsid w:val="00C25B29"/>
    <w:rsid w:val="00C32D90"/>
    <w:rsid w:val="00C338C1"/>
    <w:rsid w:val="00C346EA"/>
    <w:rsid w:val="00C35069"/>
    <w:rsid w:val="00C4029F"/>
    <w:rsid w:val="00C41EA0"/>
    <w:rsid w:val="00C449CB"/>
    <w:rsid w:val="00C55FA2"/>
    <w:rsid w:val="00C565CB"/>
    <w:rsid w:val="00C67185"/>
    <w:rsid w:val="00C67D4F"/>
    <w:rsid w:val="00C71139"/>
    <w:rsid w:val="00C71357"/>
    <w:rsid w:val="00C722DC"/>
    <w:rsid w:val="00C8304D"/>
    <w:rsid w:val="00C85887"/>
    <w:rsid w:val="00CA261B"/>
    <w:rsid w:val="00CA51CF"/>
    <w:rsid w:val="00CA5DE7"/>
    <w:rsid w:val="00CC5359"/>
    <w:rsid w:val="00CC662E"/>
    <w:rsid w:val="00CD3CEE"/>
    <w:rsid w:val="00CD7C2C"/>
    <w:rsid w:val="00CE2F2F"/>
    <w:rsid w:val="00CE446D"/>
    <w:rsid w:val="00CF7FAB"/>
    <w:rsid w:val="00D0089C"/>
    <w:rsid w:val="00D019CC"/>
    <w:rsid w:val="00D02284"/>
    <w:rsid w:val="00D044EF"/>
    <w:rsid w:val="00D10C85"/>
    <w:rsid w:val="00D15D91"/>
    <w:rsid w:val="00D21531"/>
    <w:rsid w:val="00D2689F"/>
    <w:rsid w:val="00D2709A"/>
    <w:rsid w:val="00D31BEB"/>
    <w:rsid w:val="00D4113E"/>
    <w:rsid w:val="00D51978"/>
    <w:rsid w:val="00D56B1B"/>
    <w:rsid w:val="00D61ACA"/>
    <w:rsid w:val="00D64C22"/>
    <w:rsid w:val="00D7479D"/>
    <w:rsid w:val="00D7691C"/>
    <w:rsid w:val="00D86018"/>
    <w:rsid w:val="00D90A3D"/>
    <w:rsid w:val="00D9383D"/>
    <w:rsid w:val="00DA52BB"/>
    <w:rsid w:val="00DC79CE"/>
    <w:rsid w:val="00DE13F9"/>
    <w:rsid w:val="00DE191A"/>
    <w:rsid w:val="00DE3199"/>
    <w:rsid w:val="00DE3B27"/>
    <w:rsid w:val="00DE6CE2"/>
    <w:rsid w:val="00DE7EBB"/>
    <w:rsid w:val="00DF4D77"/>
    <w:rsid w:val="00DF6733"/>
    <w:rsid w:val="00E027B4"/>
    <w:rsid w:val="00E068A9"/>
    <w:rsid w:val="00E10B75"/>
    <w:rsid w:val="00E120E8"/>
    <w:rsid w:val="00E14233"/>
    <w:rsid w:val="00E23A9D"/>
    <w:rsid w:val="00E25086"/>
    <w:rsid w:val="00E259BC"/>
    <w:rsid w:val="00E34920"/>
    <w:rsid w:val="00E37482"/>
    <w:rsid w:val="00E460C3"/>
    <w:rsid w:val="00E555C0"/>
    <w:rsid w:val="00E617B4"/>
    <w:rsid w:val="00E61E1C"/>
    <w:rsid w:val="00E6463A"/>
    <w:rsid w:val="00E767A5"/>
    <w:rsid w:val="00E83FED"/>
    <w:rsid w:val="00E85402"/>
    <w:rsid w:val="00E857DA"/>
    <w:rsid w:val="00E900ED"/>
    <w:rsid w:val="00E92664"/>
    <w:rsid w:val="00E93316"/>
    <w:rsid w:val="00E93EAD"/>
    <w:rsid w:val="00E971E3"/>
    <w:rsid w:val="00EA104C"/>
    <w:rsid w:val="00EA6DC7"/>
    <w:rsid w:val="00EB02B1"/>
    <w:rsid w:val="00EB25D8"/>
    <w:rsid w:val="00EB5A79"/>
    <w:rsid w:val="00EB65C0"/>
    <w:rsid w:val="00EC1FBE"/>
    <w:rsid w:val="00EE1022"/>
    <w:rsid w:val="00EE20C7"/>
    <w:rsid w:val="00EE2F5D"/>
    <w:rsid w:val="00EE3676"/>
    <w:rsid w:val="00EE729D"/>
    <w:rsid w:val="00EF548C"/>
    <w:rsid w:val="00F0133D"/>
    <w:rsid w:val="00F03B8F"/>
    <w:rsid w:val="00F1187C"/>
    <w:rsid w:val="00F11F65"/>
    <w:rsid w:val="00F12D52"/>
    <w:rsid w:val="00F20C1A"/>
    <w:rsid w:val="00F25486"/>
    <w:rsid w:val="00F26D20"/>
    <w:rsid w:val="00F32E85"/>
    <w:rsid w:val="00F374B2"/>
    <w:rsid w:val="00F3769C"/>
    <w:rsid w:val="00F40BCA"/>
    <w:rsid w:val="00F436FE"/>
    <w:rsid w:val="00F47A2C"/>
    <w:rsid w:val="00F556F9"/>
    <w:rsid w:val="00F62692"/>
    <w:rsid w:val="00F639EA"/>
    <w:rsid w:val="00F63FB6"/>
    <w:rsid w:val="00F67296"/>
    <w:rsid w:val="00F735F7"/>
    <w:rsid w:val="00F767E0"/>
    <w:rsid w:val="00F82573"/>
    <w:rsid w:val="00F914ED"/>
    <w:rsid w:val="00F93483"/>
    <w:rsid w:val="00FA0DDB"/>
    <w:rsid w:val="00FA236A"/>
    <w:rsid w:val="00FA6259"/>
    <w:rsid w:val="00FA7750"/>
    <w:rsid w:val="00FB0D70"/>
    <w:rsid w:val="00FB336E"/>
    <w:rsid w:val="00FB4272"/>
    <w:rsid w:val="00FB58F9"/>
    <w:rsid w:val="00FD1ECD"/>
    <w:rsid w:val="00FD303E"/>
    <w:rsid w:val="00FD4D41"/>
    <w:rsid w:val="00FE06C0"/>
    <w:rsid w:val="00FE2F29"/>
    <w:rsid w:val="00FE3910"/>
    <w:rsid w:val="00FF0442"/>
    <w:rsid w:val="00FF0691"/>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1D36C183"/>
    <w:rsid w:val="21E46551"/>
    <w:rsid w:val="25E1C2AC"/>
    <w:rsid w:val="25FBDE30"/>
    <w:rsid w:val="2989FC9A"/>
    <w:rsid w:val="2BE0F2F7"/>
    <w:rsid w:val="2F169152"/>
    <w:rsid w:val="3098E317"/>
    <w:rsid w:val="31ADAC96"/>
    <w:rsid w:val="33A46CFA"/>
    <w:rsid w:val="33C7162B"/>
    <w:rsid w:val="377D4FBB"/>
    <w:rsid w:val="3857B71D"/>
    <w:rsid w:val="39FF2A7C"/>
    <w:rsid w:val="3D1CD131"/>
    <w:rsid w:val="3F5E34DF"/>
    <w:rsid w:val="400538B8"/>
    <w:rsid w:val="42868487"/>
    <w:rsid w:val="4646DAB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9E7CB8"/>
    <w:pPr>
      <w:spacing w:line="320" w:lineRule="exact"/>
      <w:outlineLvl w:val="1"/>
    </w:pPr>
    <w:rPr>
      <w:rFonts w:ascii="Arial" w:hAnsi="Arial"/>
      <w:bCs/>
      <w:lang w:bidi="ar-SA"/>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9E7CB8"/>
    <w:rPr>
      <w:rFonts w:ascii="Arial" w:eastAsia="Times New Roman" w:hAnsi="Arial" w:cstheme="majorHAnsi"/>
      <w:b/>
      <w:bCs/>
      <w:color w:val="000000"/>
      <w:kern w:val="32"/>
      <w:sz w:val="28"/>
      <w:szCs w:val="28"/>
      <w:lang w:bidi="ar-SA"/>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aliases w:val="Bullet List,numbered,FooterText"/>
    <w:basedOn w:val="Normal"/>
    <w:link w:val="ListParagraphChar"/>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3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 w:type="character" w:customStyle="1" w:styleId="Choice">
    <w:name w:val="Choice"/>
    <w:qFormat/>
    <w:rsid w:val="00A1262D"/>
    <w:rPr>
      <w:color w:val="0000FF"/>
      <w:rtl w:val="0"/>
      <w:lang w:val="x-none" w:eastAsia="x-none" w:bidi="x-none"/>
    </w:rPr>
  </w:style>
  <w:style w:type="table" w:customStyle="1" w:styleId="TableGrid1">
    <w:name w:val="Table Grid1"/>
    <w:basedOn w:val="TableNormal"/>
    <w:next w:val="TableGrid"/>
    <w:uiPriority w:val="39"/>
    <w:rsid w:val="00810B08"/>
    <w:pPr>
      <w:spacing w:after="0" w:line="240" w:lineRule="auto"/>
    </w:pPr>
    <w:rPr>
      <w:rFonts w:ascii="Calibri" w:eastAsia="Calibri" w:hAnsi="Calibri"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numbered Char,FooterText Char"/>
    <w:link w:val="ListParagraph"/>
    <w:uiPriority w:val="34"/>
    <w:locked/>
    <w:rsid w:val="00DE3199"/>
    <w:rPr>
      <w:rFonts w:ascii="Arial" w:hAnsi="Arial"/>
    </w:rPr>
  </w:style>
  <w:style w:type="character" w:customStyle="1" w:styleId="cf01">
    <w:name w:val="cf01"/>
    <w:basedOn w:val="DefaultParagraphFont"/>
    <w:rsid w:val="009315C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394595242">
      <w:bodyDiv w:val="1"/>
      <w:marLeft w:val="0"/>
      <w:marRight w:val="0"/>
      <w:marTop w:val="0"/>
      <w:marBottom w:val="0"/>
      <w:divBdr>
        <w:top w:val="none" w:sz="0" w:space="0" w:color="auto"/>
        <w:left w:val="none" w:sz="0" w:space="0" w:color="auto"/>
        <w:bottom w:val="none" w:sz="0" w:space="0" w:color="auto"/>
        <w:right w:val="none" w:sz="0" w:space="0" w:color="auto"/>
      </w:divBdr>
    </w:div>
    <w:div w:id="615480295">
      <w:bodyDiv w:val="1"/>
      <w:marLeft w:val="0"/>
      <w:marRight w:val="0"/>
      <w:marTop w:val="0"/>
      <w:marBottom w:val="0"/>
      <w:divBdr>
        <w:top w:val="none" w:sz="0" w:space="0" w:color="auto"/>
        <w:left w:val="none" w:sz="0" w:space="0" w:color="auto"/>
        <w:bottom w:val="none" w:sz="0" w:space="0" w:color="auto"/>
        <w:right w:val="none" w:sz="0" w:space="0" w:color="auto"/>
      </w:divBdr>
    </w:div>
    <w:div w:id="786973275">
      <w:bodyDiv w:val="1"/>
      <w:marLeft w:val="0"/>
      <w:marRight w:val="0"/>
      <w:marTop w:val="0"/>
      <w:marBottom w:val="0"/>
      <w:divBdr>
        <w:top w:val="none" w:sz="0" w:space="0" w:color="auto"/>
        <w:left w:val="none" w:sz="0" w:space="0" w:color="auto"/>
        <w:bottom w:val="none" w:sz="0" w:space="0" w:color="auto"/>
        <w:right w:val="none" w:sz="0" w:space="0" w:color="auto"/>
      </w:divBdr>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052191354">
      <w:bodyDiv w:val="1"/>
      <w:marLeft w:val="0"/>
      <w:marRight w:val="0"/>
      <w:marTop w:val="0"/>
      <w:marBottom w:val="0"/>
      <w:divBdr>
        <w:top w:val="none" w:sz="0" w:space="0" w:color="auto"/>
        <w:left w:val="none" w:sz="0" w:space="0" w:color="auto"/>
        <w:bottom w:val="none" w:sz="0" w:space="0" w:color="auto"/>
        <w:right w:val="none" w:sz="0" w:space="0" w:color="auto"/>
      </w:divBdr>
    </w:div>
    <w:div w:id="1066536439">
      <w:bodyDiv w:val="1"/>
      <w:marLeft w:val="0"/>
      <w:marRight w:val="0"/>
      <w:marTop w:val="0"/>
      <w:marBottom w:val="0"/>
      <w:divBdr>
        <w:top w:val="none" w:sz="0" w:space="0" w:color="auto"/>
        <w:left w:val="none" w:sz="0" w:space="0" w:color="auto"/>
        <w:bottom w:val="none" w:sz="0" w:space="0" w:color="auto"/>
        <w:right w:val="none" w:sz="0" w:space="0" w:color="auto"/>
      </w:divBdr>
    </w:div>
    <w:div w:id="1253246780">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494489742">
      <w:bodyDiv w:val="1"/>
      <w:marLeft w:val="0"/>
      <w:marRight w:val="0"/>
      <w:marTop w:val="0"/>
      <w:marBottom w:val="0"/>
      <w:divBdr>
        <w:top w:val="none" w:sz="0" w:space="0" w:color="auto"/>
        <w:left w:val="none" w:sz="0" w:space="0" w:color="auto"/>
        <w:bottom w:val="none" w:sz="0" w:space="0" w:color="auto"/>
        <w:right w:val="none" w:sz="0" w:space="0" w:color="auto"/>
      </w:divBdr>
      <w:divsChild>
        <w:div w:id="1518272613">
          <w:marLeft w:val="0"/>
          <w:marRight w:val="0"/>
          <w:marTop w:val="0"/>
          <w:marBottom w:val="0"/>
          <w:divBdr>
            <w:top w:val="none" w:sz="0" w:space="0" w:color="auto"/>
            <w:left w:val="none" w:sz="0" w:space="0" w:color="auto"/>
            <w:bottom w:val="none" w:sz="0" w:space="0" w:color="auto"/>
            <w:right w:val="none" w:sz="0" w:space="0" w:color="auto"/>
          </w:divBdr>
          <w:divsChild>
            <w:div w:id="219681138">
              <w:marLeft w:val="0"/>
              <w:marRight w:val="0"/>
              <w:marTop w:val="0"/>
              <w:marBottom w:val="0"/>
              <w:divBdr>
                <w:top w:val="none" w:sz="0" w:space="0" w:color="auto"/>
                <w:left w:val="none" w:sz="0" w:space="0" w:color="auto"/>
                <w:bottom w:val="none" w:sz="0" w:space="0" w:color="auto"/>
                <w:right w:val="none" w:sz="0" w:space="0" w:color="auto"/>
              </w:divBdr>
              <w:divsChild>
                <w:div w:id="1792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6814">
          <w:marLeft w:val="0"/>
          <w:marRight w:val="0"/>
          <w:marTop w:val="0"/>
          <w:marBottom w:val="0"/>
          <w:divBdr>
            <w:top w:val="none" w:sz="0" w:space="0" w:color="auto"/>
            <w:left w:val="none" w:sz="0" w:space="0" w:color="auto"/>
            <w:bottom w:val="none" w:sz="0" w:space="0" w:color="auto"/>
            <w:right w:val="none" w:sz="0" w:space="0" w:color="auto"/>
          </w:divBdr>
          <w:divsChild>
            <w:div w:id="9073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412111">
      <w:bodyDiv w:val="1"/>
      <w:marLeft w:val="0"/>
      <w:marRight w:val="0"/>
      <w:marTop w:val="0"/>
      <w:marBottom w:val="0"/>
      <w:divBdr>
        <w:top w:val="none" w:sz="0" w:space="0" w:color="auto"/>
        <w:left w:val="none" w:sz="0" w:space="0" w:color="auto"/>
        <w:bottom w:val="none" w:sz="0" w:space="0" w:color="auto"/>
        <w:right w:val="none" w:sz="0" w:space="0" w:color="auto"/>
      </w:divBdr>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MCUAListing" TargetMode="External"/><Relationship Id="rId18" Type="http://schemas.openxmlformats.org/officeDocument/2006/relationships/hyperlink" Target="https://pr-webs-vendor.des.wa.gov/" TargetMode="External"/><Relationship Id="rId26" Type="http://schemas.openxmlformats.org/officeDocument/2006/relationships/hyperlink" Target="https://wa.gov/" TargetMode="External"/><Relationship Id="rId3" Type="http://schemas.openxmlformats.org/officeDocument/2006/relationships/customXml" Target="../customXml/item3.xml"/><Relationship Id="rId21" Type="http://schemas.openxmlformats.org/officeDocument/2006/relationships/hyperlink" Target="mailto:WEBSCustomerService@des.wa.gov"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apps.des.wa.gov/DESContracts/Home/PlannedProcurement" TargetMode="External"/><Relationship Id="rId25" Type="http://schemas.openxmlformats.org/officeDocument/2006/relationships/hyperlink" Target="https://apps.des.wa.gov/DESContracts/Home/MCUAListing" TargetMode="External"/><Relationship Id="rId2" Type="http://schemas.openxmlformats.org/officeDocument/2006/relationships/customXml" Target="../customXml/item2.xml"/><Relationship Id="rId16" Type="http://schemas.openxmlformats.org/officeDocument/2006/relationships/hyperlink" Target="https://apps.des.wa.gov/ContractEval/ContractFeedback.aspx?s=C&amp;c=03724" TargetMode="External"/><Relationship Id="rId20" Type="http://schemas.openxmlformats.org/officeDocument/2006/relationships/hyperlink" Target="https://des.wa.gov/sell/how-work-state/register-bid-opportuniti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contracting/29023p.xlsx" TargetMode="External"/><Relationship Id="rId24" Type="http://schemas.openxmlformats.org/officeDocument/2006/relationships/hyperlink" Target="https://apps.des.wa.gov/CSR/Vendor_Qtrly_Sales_Rpt.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des.wa.gov/contracting/29023p.xlsx" TargetMode="External"/><Relationship Id="rId23" Type="http://schemas.openxmlformats.org/officeDocument/2006/relationships/hyperlink" Target="https://des.wa.gov/sell/bid-opportuniti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gcc02.safelinks.protection.outlook.com/?url=https%3A%2F%2Fpr-webs-customer.des.wa.gov%2F&amp;data=05%7C02%7CDESContractsTeamCedar%40des.wa.gov%7C2b7c4210c43b4fa311ef08dc6de64118%7C11d0e217264e400a8ba057dcc127d72d%7C0%7C0%7C638506083574983566%7CUnknown%7CTWFpbGZsb3d8eyJWIjoiMC4wLjAwMDAiLCJQIjoiV2luMzIiLCJBTiI6Ik1haWwiLCJXVCI6Mn0%3D%7C0%7C%7C%7C&amp;sdata=uv0ILjGE562KCA1sqDDBUFyB2Yl6zu1oE%2B3TeL15nqY%3D&amp;reserved=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as/Procurement/Pages/Orcpp.aspx" TargetMode="External"/><Relationship Id="rId22" Type="http://schemas.openxmlformats.org/officeDocument/2006/relationships/hyperlink" Target="https://des.wa.gov/sell/how-work-state" TargetMode="External"/><Relationship Id="rId27" Type="http://schemas.openxmlformats.org/officeDocument/2006/relationships/hyperlink" Target="https://wa.gov/"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FDF93C011456489F87646621C71020" ma:contentTypeVersion="7" ma:contentTypeDescription="Create a new document." ma:contentTypeScope="" ma:versionID="a2a02d86b57c590b4df8f90eba1d0516">
  <xsd:schema xmlns:xsd="http://www.w3.org/2001/XMLSchema" xmlns:xs="http://www.w3.org/2001/XMLSchema" xmlns:p="http://schemas.microsoft.com/office/2006/metadata/properties" xmlns:ns1="http://schemas.microsoft.com/sharepoint/v3" xmlns:ns2="92ed82e2-0e67-44da-9726-99f1a08e6ec0" targetNamespace="http://schemas.microsoft.com/office/2006/metadata/properties" ma:root="true" ma:fieldsID="b0fc3ad8d45e2f66ac2905d60a6d236f" ns1:_="" ns2:_="">
    <xsd:import namespace="http://schemas.microsoft.com/sharepoint/v3"/>
    <xsd:import namespace="92ed82e2-0e67-44da-9726-99f1a08e6e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d82e2-0e67-44da-9726-99f1a08e6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customXml/itemProps2.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3.xml><?xml version="1.0" encoding="utf-8"?>
<ds:datastoreItem xmlns:ds="http://schemas.openxmlformats.org/officeDocument/2006/customXml" ds:itemID="{2E18E0FC-02D9-4F1C-B92C-5335C4F9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ed82e2-0e67-44da-9726-99f1a08e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1462</Words>
  <Characters>8450</Characters>
  <Application>Microsoft Office Word</Application>
  <DocSecurity>0</DocSecurity>
  <Lines>198</Lines>
  <Paragraphs>77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Fact Sheet Template</vt:lpstr>
      <vt:lpstr>29023 – Illumination Transportation and Traffic Systems </vt:lpstr>
      <vt:lpstr>    Purchaser Related</vt:lpstr>
      <vt:lpstr>    Contractor Related</vt:lpstr>
    </vt:vector>
  </TitlesOfParts>
  <Company>State of Washington</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Bacon, Jaime (DES)</cp:lastModifiedBy>
  <cp:revision>2</cp:revision>
  <cp:lastPrinted>2018-02-01T23:33:00Z</cp:lastPrinted>
  <dcterms:created xsi:type="dcterms:W3CDTF">2025-05-05T16:48:00Z</dcterms:created>
  <dcterms:modified xsi:type="dcterms:W3CDTF">2025-05-05T16:48:00Z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0x01010038FDF93C011456489F87646621C71020</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