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7D2A" w14:textId="1878475E" w:rsidR="007D03A1" w:rsidRPr="008511C3" w:rsidRDefault="002F492D" w:rsidP="008511C3">
      <w:pPr>
        <w:rPr>
          <w:b/>
          <w:bCs/>
        </w:rPr>
      </w:pPr>
      <w:r w:rsidRPr="007D03A1">
        <w:rPr>
          <w:b/>
          <w:bCs/>
        </w:rPr>
        <w:t>Introduction</w:t>
      </w:r>
      <w:r w:rsidR="008511C3">
        <w:rPr>
          <w:b/>
          <w:bCs/>
        </w:rPr>
        <w:t xml:space="preserve">: </w:t>
      </w:r>
      <w:r w:rsidRPr="007436F7">
        <w:t xml:space="preserve">Pursuant to Legislative </w:t>
      </w:r>
      <w:r w:rsidRPr="00E453F8">
        <w:t>authorization</w:t>
      </w:r>
      <w:r w:rsidRPr="007436F7">
        <w:t xml:space="preserve">, </w:t>
      </w:r>
      <w:r w:rsidR="00B84E33">
        <w:t>DES</w:t>
      </w:r>
      <w:r w:rsidRPr="007436F7">
        <w:t>, on behalf of the State of Washington, is authorized to develop</w:t>
      </w:r>
      <w:r>
        <w:t xml:space="preserve"> or participate in cooperative purchasing agreements to develop</w:t>
      </w:r>
      <w:r w:rsidRPr="007436F7">
        <w:t xml:space="preserve"> master contracts for goods and/or services </w:t>
      </w:r>
      <w:r w:rsidRPr="00E453F8">
        <w:t>to support Washington state agencies</w:t>
      </w:r>
      <w:r>
        <w:t xml:space="preserve"> and </w:t>
      </w:r>
      <w:r w:rsidRPr="00E453F8">
        <w:t>other local or federal government agenc</w:t>
      </w:r>
      <w:r>
        <w:t>ies</w:t>
      </w:r>
      <w:r w:rsidRPr="00E453F8">
        <w:t xml:space="preserve"> or entit</w:t>
      </w:r>
      <w:r>
        <w:t>ies</w:t>
      </w:r>
      <w:r w:rsidRPr="00E453F8">
        <w:t xml:space="preserve">, public benefit nonprofit organizations, </w:t>
      </w:r>
      <w:r>
        <w:t>and</w:t>
      </w:r>
      <w:r w:rsidRPr="00E453F8">
        <w:t xml:space="preserve"> any tribes located in the State of Washington.  </w:t>
      </w:r>
      <w:r w:rsidRPr="002F492D">
        <w:rPr>
          <w:i/>
        </w:rPr>
        <w:t>See</w:t>
      </w:r>
      <w:r w:rsidRPr="00E453F8">
        <w:t xml:space="preserve"> RCW 39.26.050</w:t>
      </w:r>
      <w:r>
        <w:t xml:space="preserve"> and </w:t>
      </w:r>
      <w:r w:rsidRPr="007436F7">
        <w:t>39.26</w:t>
      </w:r>
      <w:r>
        <w:t>.060</w:t>
      </w:r>
      <w:r w:rsidRPr="00E453F8">
        <w:t>.</w:t>
      </w:r>
      <w:r>
        <w:t xml:space="preserve"> </w:t>
      </w:r>
      <w:r w:rsidR="008511C3">
        <w:rPr>
          <w:b/>
          <w:bCs/>
        </w:rPr>
        <w:t xml:space="preserve"> </w:t>
      </w:r>
      <w:bookmarkStart w:id="0" w:name="_Hlk108777443"/>
      <w:r w:rsidR="00B84E33">
        <w:t>DES</w:t>
      </w:r>
      <w:r w:rsidRPr="007436F7">
        <w:t xml:space="preserve"> </w:t>
      </w:r>
      <w:r>
        <w:t xml:space="preserve">has ensured this procurement meets </w:t>
      </w:r>
      <w:hyperlink r:id="rId5" w:history="1">
        <w:r w:rsidRPr="007D03A1">
          <w:rPr>
            <w:rStyle w:val="Hyperlink"/>
          </w:rPr>
          <w:t>RCW 39.26</w:t>
        </w:r>
      </w:hyperlink>
      <w:r>
        <w:t xml:space="preserve"> </w:t>
      </w:r>
      <w:r w:rsidR="00F62F77">
        <w:t xml:space="preserve">, </w:t>
      </w:r>
      <w:r w:rsidR="007D03A1">
        <w:t xml:space="preserve">State of Washington </w:t>
      </w:r>
      <w:hyperlink r:id="rId6" w:history="1">
        <w:r w:rsidR="007D03A1" w:rsidRPr="007D03A1">
          <w:rPr>
            <w:rStyle w:val="Hyperlink"/>
          </w:rPr>
          <w:t>Current Procurement Policies</w:t>
        </w:r>
      </w:hyperlink>
      <w:r w:rsidR="007D03A1">
        <w:t xml:space="preserve">, and </w:t>
      </w:r>
      <w:r w:rsidRPr="007436F7">
        <w:t xml:space="preserve">determined that entering into this </w:t>
      </w:r>
      <w:r w:rsidR="007D03A1">
        <w:t>m</w:t>
      </w:r>
      <w:r w:rsidRPr="007436F7">
        <w:t xml:space="preserve">aster </w:t>
      </w:r>
      <w:r w:rsidR="007D03A1">
        <w:t>c</w:t>
      </w:r>
      <w:r w:rsidRPr="007436F7">
        <w:t>ontract will be in the best interest of the State of Washington.</w:t>
      </w:r>
      <w:r w:rsidR="007D03A1">
        <w:t xml:space="preserve">  </w:t>
      </w:r>
      <w:bookmarkEnd w:id="0"/>
    </w:p>
    <w:p w14:paraId="549CA25A" w14:textId="4DEAAC70" w:rsidR="007D03A1" w:rsidRDefault="007D03A1" w:rsidP="002F492D">
      <w:pPr>
        <w:spacing w:before="120" w:after="0" w:line="240" w:lineRule="auto"/>
        <w:ind w:right="720"/>
        <w:jc w:val="both"/>
      </w:pPr>
      <w:r w:rsidRPr="007D03A1">
        <w:rPr>
          <w:b/>
          <w:bCs/>
        </w:rPr>
        <w:t>Procurement Process</w:t>
      </w:r>
      <w:r w:rsidR="008511C3">
        <w:rPr>
          <w:b/>
          <w:bCs/>
        </w:rPr>
        <w:t xml:space="preserve">: </w:t>
      </w:r>
      <w:r>
        <w:t xml:space="preserve">In accordance with the above laws and policies, </w:t>
      </w:r>
      <w:r w:rsidR="00F549B0">
        <w:t>DES</w:t>
      </w:r>
      <w:r>
        <w:t xml:space="preserve"> followed these steps when establishing this statewide contract. </w:t>
      </w:r>
    </w:p>
    <w:p w14:paraId="3EE612EA" w14:textId="77777777" w:rsidR="008511C3" w:rsidRPr="008511C3" w:rsidRDefault="008511C3" w:rsidP="002F492D">
      <w:pPr>
        <w:spacing w:before="120" w:after="0" w:line="240" w:lineRule="auto"/>
        <w:ind w:right="720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714"/>
      </w:tblGrid>
      <w:tr w:rsidR="007D03A1" w14:paraId="0BDA3EDC" w14:textId="77777777" w:rsidTr="00C30747">
        <w:tc>
          <w:tcPr>
            <w:tcW w:w="2425" w:type="dxa"/>
          </w:tcPr>
          <w:p w14:paraId="622214E8" w14:textId="73901D06" w:rsidR="007D03A1" w:rsidRPr="00A50D5F" w:rsidRDefault="007D03A1" w:rsidP="007D03A1">
            <w:pPr>
              <w:spacing w:before="120"/>
              <w:ind w:right="720"/>
              <w:jc w:val="center"/>
              <w:rPr>
                <w:b/>
                <w:bCs/>
                <w:sz w:val="20"/>
                <w:szCs w:val="20"/>
              </w:rPr>
            </w:pPr>
            <w:r w:rsidRPr="00A50D5F">
              <w:rPr>
                <w:b/>
                <w:bCs/>
                <w:sz w:val="20"/>
                <w:szCs w:val="20"/>
              </w:rPr>
              <w:t>Milestone</w:t>
            </w:r>
          </w:p>
        </w:tc>
        <w:tc>
          <w:tcPr>
            <w:tcW w:w="7714" w:type="dxa"/>
          </w:tcPr>
          <w:p w14:paraId="5088E5CB" w14:textId="3E998824" w:rsidR="007D03A1" w:rsidRPr="00A50D5F" w:rsidRDefault="007D03A1" w:rsidP="007D03A1">
            <w:pPr>
              <w:spacing w:before="120"/>
              <w:ind w:right="720"/>
              <w:jc w:val="center"/>
              <w:rPr>
                <w:b/>
                <w:bCs/>
                <w:sz w:val="20"/>
                <w:szCs w:val="20"/>
              </w:rPr>
            </w:pPr>
            <w:r w:rsidRPr="00A50D5F">
              <w:rPr>
                <w:b/>
                <w:bCs/>
                <w:sz w:val="20"/>
                <w:szCs w:val="20"/>
              </w:rPr>
              <w:t xml:space="preserve">Purpose </w:t>
            </w:r>
            <w:r w:rsidR="006267B3" w:rsidRPr="00A50D5F">
              <w:rPr>
                <w:b/>
                <w:bCs/>
                <w:sz w:val="20"/>
                <w:szCs w:val="20"/>
              </w:rPr>
              <w:t>and/or</w:t>
            </w:r>
            <w:r w:rsidRPr="00A50D5F">
              <w:rPr>
                <w:b/>
                <w:bCs/>
                <w:sz w:val="20"/>
                <w:szCs w:val="20"/>
              </w:rPr>
              <w:t xml:space="preserve"> Applicable Regulation</w:t>
            </w:r>
          </w:p>
        </w:tc>
      </w:tr>
      <w:tr w:rsidR="007D03A1" w14:paraId="7DFE14EA" w14:textId="77777777" w:rsidTr="00C30747">
        <w:tc>
          <w:tcPr>
            <w:tcW w:w="2425" w:type="dxa"/>
          </w:tcPr>
          <w:p w14:paraId="4EAA3824" w14:textId="10306E42" w:rsidR="007D03A1" w:rsidRPr="00A50D5F" w:rsidRDefault="007D03A1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1 - Determination</w:t>
            </w:r>
          </w:p>
        </w:tc>
        <w:tc>
          <w:tcPr>
            <w:tcW w:w="7714" w:type="dxa"/>
          </w:tcPr>
          <w:p w14:paraId="73389C16" w14:textId="03012B64" w:rsidR="007D03A1" w:rsidRPr="00A50D5F" w:rsidRDefault="000F2684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DES conducted an analysis to ensure this</w:t>
            </w:r>
            <w:r w:rsidR="001019B0" w:rsidRPr="00A50D5F">
              <w:rPr>
                <w:sz w:val="20"/>
                <w:szCs w:val="20"/>
              </w:rPr>
              <w:t xml:space="preserve"> commodit</w:t>
            </w:r>
            <w:r w:rsidRPr="00A50D5F">
              <w:rPr>
                <w:sz w:val="20"/>
                <w:szCs w:val="20"/>
              </w:rPr>
              <w:t>y</w:t>
            </w:r>
            <w:r w:rsidR="001019B0" w:rsidRPr="00A50D5F">
              <w:rPr>
                <w:sz w:val="20"/>
                <w:szCs w:val="20"/>
              </w:rPr>
              <w:t xml:space="preserve"> </w:t>
            </w:r>
            <w:r w:rsidRPr="00A50D5F">
              <w:rPr>
                <w:sz w:val="20"/>
                <w:szCs w:val="20"/>
              </w:rPr>
              <w:t>provides an opportunity for</w:t>
            </w:r>
            <w:r w:rsidR="001019B0" w:rsidRPr="00A50D5F">
              <w:rPr>
                <w:sz w:val="20"/>
                <w:szCs w:val="20"/>
              </w:rPr>
              <w:t xml:space="preserve"> economies of scale, and economic benefit to the state. </w:t>
            </w:r>
          </w:p>
        </w:tc>
      </w:tr>
      <w:tr w:rsidR="007D03A1" w14:paraId="22D52B01" w14:textId="77777777" w:rsidTr="00C30747">
        <w:tc>
          <w:tcPr>
            <w:tcW w:w="2425" w:type="dxa"/>
          </w:tcPr>
          <w:p w14:paraId="1775440E" w14:textId="2D02A5BB" w:rsidR="007D03A1" w:rsidRPr="00A50D5F" w:rsidRDefault="007D03A1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 xml:space="preserve">2 – Risk </w:t>
            </w:r>
            <w:r w:rsidR="001019B0" w:rsidRPr="00A50D5F">
              <w:rPr>
                <w:sz w:val="20"/>
                <w:szCs w:val="20"/>
              </w:rPr>
              <w:t>Assessment</w:t>
            </w:r>
          </w:p>
        </w:tc>
        <w:tc>
          <w:tcPr>
            <w:tcW w:w="7714" w:type="dxa"/>
          </w:tcPr>
          <w:p w14:paraId="08C0880F" w14:textId="30462AAC" w:rsidR="007D03A1" w:rsidRPr="00A50D5F" w:rsidRDefault="000F2684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 xml:space="preserve">DES </w:t>
            </w:r>
            <w:r w:rsidR="00D21AC2">
              <w:rPr>
                <w:sz w:val="20"/>
                <w:szCs w:val="20"/>
              </w:rPr>
              <w:t>did</w:t>
            </w:r>
            <w:r w:rsidRPr="00A50D5F">
              <w:rPr>
                <w:sz w:val="20"/>
                <w:szCs w:val="20"/>
              </w:rPr>
              <w:t xml:space="preserve"> risk</w:t>
            </w:r>
            <w:r w:rsidR="001019B0" w:rsidRPr="00A50D5F">
              <w:rPr>
                <w:sz w:val="20"/>
                <w:szCs w:val="20"/>
              </w:rPr>
              <w:t xml:space="preserve"> and complexity assessment </w:t>
            </w:r>
            <w:r w:rsidR="00D21AC2">
              <w:rPr>
                <w:sz w:val="20"/>
                <w:szCs w:val="20"/>
              </w:rPr>
              <w:t xml:space="preserve">for this procurement </w:t>
            </w:r>
            <w:r w:rsidR="001019B0" w:rsidRPr="00A50D5F">
              <w:rPr>
                <w:sz w:val="20"/>
                <w:szCs w:val="20"/>
              </w:rPr>
              <w:t>to assign the procurement to the contract specialist with the appropriate level of experience.</w:t>
            </w:r>
          </w:p>
        </w:tc>
      </w:tr>
      <w:tr w:rsidR="007D03A1" w14:paraId="0DFFA5C2" w14:textId="77777777" w:rsidTr="00C30747">
        <w:tc>
          <w:tcPr>
            <w:tcW w:w="2425" w:type="dxa"/>
          </w:tcPr>
          <w:p w14:paraId="66DF92B0" w14:textId="599CC2E9" w:rsidR="007D03A1" w:rsidRPr="00A50D5F" w:rsidRDefault="007D03A1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3 – Market Research</w:t>
            </w:r>
          </w:p>
        </w:tc>
        <w:tc>
          <w:tcPr>
            <w:tcW w:w="7714" w:type="dxa"/>
          </w:tcPr>
          <w:p w14:paraId="2A0B5529" w14:textId="78516987" w:rsidR="007D03A1" w:rsidRPr="00A50D5F" w:rsidRDefault="00A50D5F" w:rsidP="007D03A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conducted market research for this commodity by reviewing industry resources and reaching out to vendors/customers.</w:t>
            </w:r>
          </w:p>
        </w:tc>
      </w:tr>
      <w:tr w:rsidR="007D03A1" w14:paraId="432F7A84" w14:textId="77777777" w:rsidTr="00C30747">
        <w:tc>
          <w:tcPr>
            <w:tcW w:w="2425" w:type="dxa"/>
          </w:tcPr>
          <w:p w14:paraId="2386B588" w14:textId="6DEE4586" w:rsidR="007D03A1" w:rsidRPr="00A50D5F" w:rsidRDefault="000F2684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4 – Sourcing Team</w:t>
            </w:r>
          </w:p>
        </w:tc>
        <w:tc>
          <w:tcPr>
            <w:tcW w:w="7714" w:type="dxa"/>
          </w:tcPr>
          <w:p w14:paraId="01EEE2C6" w14:textId="330B1FC9" w:rsidR="007D03A1" w:rsidRPr="00A50D5F" w:rsidRDefault="00A50D5F" w:rsidP="007D03A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sent out the invite to current or potential purchasers to provide input regarding the procurement and to serve as evaluators, if applicable. </w:t>
            </w:r>
          </w:p>
        </w:tc>
      </w:tr>
      <w:tr w:rsidR="007D03A1" w14:paraId="46CCD422" w14:textId="77777777" w:rsidTr="00C30747">
        <w:tc>
          <w:tcPr>
            <w:tcW w:w="2425" w:type="dxa"/>
          </w:tcPr>
          <w:p w14:paraId="0F7BF2E5" w14:textId="68EE208F" w:rsidR="007D03A1" w:rsidRPr="00A50D5F" w:rsidRDefault="000F2684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5 – Strategic Plan</w:t>
            </w:r>
          </w:p>
        </w:tc>
        <w:tc>
          <w:tcPr>
            <w:tcW w:w="7714" w:type="dxa"/>
          </w:tcPr>
          <w:p w14:paraId="212205F9" w14:textId="16E53F20" w:rsidR="007D03A1" w:rsidRPr="00A50D5F" w:rsidRDefault="00600A0D" w:rsidP="007D03A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the market research and input from stakeholders, DES created the procurement strategy best applicable to this commodity.  The strategic plan included decisions on award categories/regions, evaluation criteria,  cost components, state preferences, etc.</w:t>
            </w:r>
          </w:p>
        </w:tc>
      </w:tr>
      <w:tr w:rsidR="007D03A1" w14:paraId="431AB6FB" w14:textId="77777777" w:rsidTr="00C30747">
        <w:tc>
          <w:tcPr>
            <w:tcW w:w="2425" w:type="dxa"/>
          </w:tcPr>
          <w:p w14:paraId="3AF2EC00" w14:textId="126409F5" w:rsidR="007D03A1" w:rsidRPr="00A50D5F" w:rsidRDefault="000F2684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6 – Solicitation Draft</w:t>
            </w:r>
          </w:p>
        </w:tc>
        <w:tc>
          <w:tcPr>
            <w:tcW w:w="7714" w:type="dxa"/>
          </w:tcPr>
          <w:p w14:paraId="14549910" w14:textId="242EF6E4" w:rsidR="007D03A1" w:rsidRPr="00A50D5F" w:rsidRDefault="00600A0D" w:rsidP="007D03A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standard solicitation templates and decision points from the strategic plan, DES drafted the solicitation and followed its internal review process procedures.</w:t>
            </w:r>
          </w:p>
        </w:tc>
      </w:tr>
      <w:tr w:rsidR="007D03A1" w14:paraId="3B0960A0" w14:textId="77777777" w:rsidTr="00C30747">
        <w:tc>
          <w:tcPr>
            <w:tcW w:w="2425" w:type="dxa"/>
          </w:tcPr>
          <w:p w14:paraId="72EA9984" w14:textId="22A36F02" w:rsidR="007D03A1" w:rsidRPr="00A50D5F" w:rsidRDefault="007D03A1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7 &amp; 8 –</w:t>
            </w:r>
            <w:r w:rsidR="00C30747" w:rsidRPr="00A50D5F">
              <w:rPr>
                <w:sz w:val="20"/>
                <w:szCs w:val="20"/>
              </w:rPr>
              <w:t xml:space="preserve"> </w:t>
            </w:r>
            <w:r w:rsidRPr="00A50D5F">
              <w:rPr>
                <w:sz w:val="20"/>
                <w:szCs w:val="20"/>
              </w:rPr>
              <w:t>Posting in WEBS</w:t>
            </w:r>
          </w:p>
        </w:tc>
        <w:tc>
          <w:tcPr>
            <w:tcW w:w="7714" w:type="dxa"/>
          </w:tcPr>
          <w:p w14:paraId="2D105118" w14:textId="3B00AB17" w:rsidR="007D03A1" w:rsidRPr="00A50D5F" w:rsidRDefault="00B84E33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Per RCW 39.26.150, DES provide</w:t>
            </w:r>
            <w:r w:rsidR="000F2684" w:rsidRPr="00A50D5F">
              <w:rPr>
                <w:sz w:val="20"/>
                <w:szCs w:val="20"/>
              </w:rPr>
              <w:t>d</w:t>
            </w:r>
            <w:r w:rsidRPr="00A50D5F">
              <w:rPr>
                <w:sz w:val="20"/>
                <w:szCs w:val="20"/>
              </w:rPr>
              <w:t xml:space="preserve"> public notice </w:t>
            </w:r>
            <w:r w:rsidR="000F2684" w:rsidRPr="00A50D5F">
              <w:rPr>
                <w:sz w:val="20"/>
                <w:szCs w:val="20"/>
              </w:rPr>
              <w:t xml:space="preserve">and </w:t>
            </w:r>
            <w:r w:rsidRPr="00A50D5F">
              <w:rPr>
                <w:sz w:val="20"/>
                <w:szCs w:val="20"/>
              </w:rPr>
              <w:t>post</w:t>
            </w:r>
            <w:r w:rsidR="000F2684" w:rsidRPr="00A50D5F">
              <w:rPr>
                <w:sz w:val="20"/>
                <w:szCs w:val="20"/>
              </w:rPr>
              <w:t>ed</w:t>
            </w:r>
            <w:r w:rsidRPr="00A50D5F">
              <w:rPr>
                <w:sz w:val="20"/>
                <w:szCs w:val="20"/>
              </w:rPr>
              <w:t xml:space="preserve"> </w:t>
            </w:r>
            <w:r w:rsidR="00C30747" w:rsidRPr="00A50D5F">
              <w:rPr>
                <w:sz w:val="20"/>
                <w:szCs w:val="20"/>
              </w:rPr>
              <w:t xml:space="preserve">the solicitation </w:t>
            </w:r>
            <w:r w:rsidRPr="00A50D5F">
              <w:rPr>
                <w:sz w:val="20"/>
                <w:szCs w:val="20"/>
              </w:rPr>
              <w:t>on the state's enterprise vendor registration and bid notification system</w:t>
            </w:r>
            <w:r w:rsidR="000F2684" w:rsidRPr="00A50D5F">
              <w:rPr>
                <w:sz w:val="20"/>
                <w:szCs w:val="20"/>
              </w:rPr>
              <w:t xml:space="preserve"> (</w:t>
            </w:r>
            <w:hyperlink r:id="rId7" w:history="1">
              <w:r w:rsidR="000F2684" w:rsidRPr="00A50D5F">
                <w:rPr>
                  <w:rStyle w:val="Hyperlink"/>
                  <w:sz w:val="20"/>
                  <w:szCs w:val="20"/>
                </w:rPr>
                <w:t>WEBS</w:t>
              </w:r>
            </w:hyperlink>
            <w:r w:rsidR="000F2684" w:rsidRPr="00A50D5F">
              <w:rPr>
                <w:sz w:val="20"/>
                <w:szCs w:val="20"/>
              </w:rPr>
              <w:t>).</w:t>
            </w:r>
          </w:p>
        </w:tc>
      </w:tr>
      <w:tr w:rsidR="007D03A1" w14:paraId="3B842979" w14:textId="77777777" w:rsidTr="00C30747">
        <w:tc>
          <w:tcPr>
            <w:tcW w:w="2425" w:type="dxa"/>
          </w:tcPr>
          <w:p w14:paraId="7EF1ED6D" w14:textId="72E670DF" w:rsidR="007D03A1" w:rsidRPr="00A50D5F" w:rsidRDefault="000F2684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 xml:space="preserve">9 – Pre-Bid </w:t>
            </w:r>
          </w:p>
        </w:tc>
        <w:tc>
          <w:tcPr>
            <w:tcW w:w="7714" w:type="dxa"/>
          </w:tcPr>
          <w:p w14:paraId="222E7279" w14:textId="49D14C29" w:rsidR="007D03A1" w:rsidRPr="00954978" w:rsidRDefault="00954978" w:rsidP="007D03A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help bidders submit a successful bid, DES held a</w:t>
            </w:r>
            <w:r w:rsidR="00600A0D">
              <w:rPr>
                <w:sz w:val="20"/>
                <w:szCs w:val="20"/>
              </w:rPr>
              <w:t>n optional virtual pre-bid conference where bidders could ask questions about the solicitation.</w:t>
            </w:r>
          </w:p>
        </w:tc>
      </w:tr>
      <w:tr w:rsidR="007D03A1" w14:paraId="79B82F07" w14:textId="77777777" w:rsidTr="00C30747">
        <w:tc>
          <w:tcPr>
            <w:tcW w:w="2425" w:type="dxa"/>
          </w:tcPr>
          <w:p w14:paraId="3C6C130D" w14:textId="36A63194" w:rsidR="007D03A1" w:rsidRPr="00A50D5F" w:rsidRDefault="000F2684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10 – Q&amp;A Period</w:t>
            </w:r>
          </w:p>
        </w:tc>
        <w:tc>
          <w:tcPr>
            <w:tcW w:w="7714" w:type="dxa"/>
          </w:tcPr>
          <w:p w14:paraId="1923B79C" w14:textId="32DBD5CF" w:rsidR="007D03A1" w:rsidRPr="00A50D5F" w:rsidRDefault="00C30747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DES allowed bidders to submit questions and posted the responses via WEBS. Per RCW 39.26.170 and Policy DES-170, DES allowed bidders to submit a complaint.</w:t>
            </w:r>
          </w:p>
        </w:tc>
      </w:tr>
      <w:tr w:rsidR="007D03A1" w14:paraId="40508E2A" w14:textId="77777777" w:rsidTr="00C30747">
        <w:tc>
          <w:tcPr>
            <w:tcW w:w="2425" w:type="dxa"/>
          </w:tcPr>
          <w:p w14:paraId="0BA88116" w14:textId="20C8CA44" w:rsidR="007D03A1" w:rsidRPr="00A50D5F" w:rsidRDefault="000F2684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11 – Bids Due</w:t>
            </w:r>
          </w:p>
        </w:tc>
        <w:tc>
          <w:tcPr>
            <w:tcW w:w="7714" w:type="dxa"/>
          </w:tcPr>
          <w:p w14:paraId="5A6CED8D" w14:textId="542B5AA8" w:rsidR="007D03A1" w:rsidRPr="00A50D5F" w:rsidRDefault="002A0460" w:rsidP="007D03A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set the bids due deadline and requested that all bids be submitted electronically by that deadline in order for the bids to be considered responsive.</w:t>
            </w:r>
          </w:p>
        </w:tc>
      </w:tr>
      <w:tr w:rsidR="007D03A1" w14:paraId="3385D3C0" w14:textId="77777777" w:rsidTr="00C30747">
        <w:tc>
          <w:tcPr>
            <w:tcW w:w="2425" w:type="dxa"/>
          </w:tcPr>
          <w:p w14:paraId="1FA8BFCB" w14:textId="520461D4" w:rsidR="007D03A1" w:rsidRPr="00A50D5F" w:rsidRDefault="000F2684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12 – Bid Evaluation</w:t>
            </w:r>
          </w:p>
        </w:tc>
        <w:tc>
          <w:tcPr>
            <w:tcW w:w="7714" w:type="dxa"/>
          </w:tcPr>
          <w:p w14:paraId="27D29A20" w14:textId="6C7C7FD7" w:rsidR="007D03A1" w:rsidRPr="00A50D5F" w:rsidRDefault="006267B3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 xml:space="preserve">Per RCW 39.26.160, DES evaluated all bids to determine the lowest responsive responsible bidder(s) </w:t>
            </w:r>
            <w:r w:rsidR="00A50D5F" w:rsidRPr="00A50D5F">
              <w:rPr>
                <w:sz w:val="20"/>
                <w:szCs w:val="20"/>
              </w:rPr>
              <w:t>based on the criteria set forth in the solicitation and any preferences as required by the RCW and policies.</w:t>
            </w:r>
          </w:p>
        </w:tc>
      </w:tr>
      <w:tr w:rsidR="007D03A1" w14:paraId="7B0C3F63" w14:textId="77777777" w:rsidTr="00C30747">
        <w:tc>
          <w:tcPr>
            <w:tcW w:w="2425" w:type="dxa"/>
          </w:tcPr>
          <w:p w14:paraId="7DF3B98A" w14:textId="0D29D4AA" w:rsidR="007D03A1" w:rsidRPr="00A50D5F" w:rsidRDefault="000F2684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13 – ASB Announcement</w:t>
            </w:r>
          </w:p>
        </w:tc>
        <w:tc>
          <w:tcPr>
            <w:tcW w:w="7714" w:type="dxa"/>
          </w:tcPr>
          <w:p w14:paraId="0A21DF25" w14:textId="67D253AA" w:rsidR="007D03A1" w:rsidRPr="00A50D5F" w:rsidRDefault="00F74884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Per RCW 39.26.160</w:t>
            </w:r>
            <w:r>
              <w:rPr>
                <w:sz w:val="20"/>
                <w:szCs w:val="20"/>
              </w:rPr>
              <w:t xml:space="preserve"> and Policy DES-170, DES </w:t>
            </w:r>
            <w:r w:rsidR="00160F28">
              <w:rPr>
                <w:sz w:val="20"/>
                <w:szCs w:val="20"/>
              </w:rPr>
              <w:t xml:space="preserve">sent notice to all bidders through WEBS about </w:t>
            </w:r>
            <w:r>
              <w:rPr>
                <w:sz w:val="20"/>
                <w:szCs w:val="20"/>
              </w:rPr>
              <w:t xml:space="preserve">apparent successful bidder(s) </w:t>
            </w:r>
            <w:r w:rsidR="00160F28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ASB</w:t>
            </w:r>
            <w:r w:rsidR="00160F28">
              <w:rPr>
                <w:sz w:val="20"/>
                <w:szCs w:val="20"/>
              </w:rPr>
              <w:t xml:space="preserve"> and shared the evaluation scores summary. </w:t>
            </w:r>
          </w:p>
        </w:tc>
      </w:tr>
      <w:tr w:rsidR="007D03A1" w14:paraId="489A1DFB" w14:textId="77777777" w:rsidTr="00C30747">
        <w:tc>
          <w:tcPr>
            <w:tcW w:w="2425" w:type="dxa"/>
          </w:tcPr>
          <w:p w14:paraId="7C3DB9CE" w14:textId="18D03EA6" w:rsidR="007D03A1" w:rsidRPr="00A50D5F" w:rsidRDefault="000F2684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14 – Debrief Period</w:t>
            </w:r>
          </w:p>
        </w:tc>
        <w:tc>
          <w:tcPr>
            <w:tcW w:w="7714" w:type="dxa"/>
          </w:tcPr>
          <w:p w14:paraId="670E02BA" w14:textId="4236FEBC" w:rsidR="007D03A1" w:rsidRPr="00A50D5F" w:rsidRDefault="006267B3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 xml:space="preserve">Per Policy DES-170, DES allowed bidders to request a debrief within 3 business days from the ASB announcement. </w:t>
            </w:r>
          </w:p>
        </w:tc>
      </w:tr>
      <w:tr w:rsidR="007D03A1" w14:paraId="50CE1010" w14:textId="77777777" w:rsidTr="00C30747">
        <w:tc>
          <w:tcPr>
            <w:tcW w:w="2425" w:type="dxa"/>
          </w:tcPr>
          <w:p w14:paraId="1289EEFB" w14:textId="0D833C1D" w:rsidR="007D03A1" w:rsidRPr="00A50D5F" w:rsidRDefault="000F2684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15 – Protest Period</w:t>
            </w:r>
          </w:p>
        </w:tc>
        <w:tc>
          <w:tcPr>
            <w:tcW w:w="7714" w:type="dxa"/>
          </w:tcPr>
          <w:p w14:paraId="50A1C443" w14:textId="3972A3A2" w:rsidR="007D03A1" w:rsidRPr="00A50D5F" w:rsidRDefault="00285F75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 xml:space="preserve">Per RCW 39.26.170 and Policy DES-170, DES allowed 5 business days </w:t>
            </w:r>
            <w:r w:rsidR="00C30747" w:rsidRPr="00A50D5F">
              <w:rPr>
                <w:sz w:val="20"/>
                <w:szCs w:val="20"/>
              </w:rPr>
              <w:t xml:space="preserve">after the debriefs </w:t>
            </w:r>
            <w:r w:rsidRPr="00A50D5F">
              <w:rPr>
                <w:sz w:val="20"/>
                <w:szCs w:val="20"/>
              </w:rPr>
              <w:t xml:space="preserve">for </w:t>
            </w:r>
            <w:r w:rsidR="00C30747" w:rsidRPr="00A50D5F">
              <w:rPr>
                <w:sz w:val="20"/>
                <w:szCs w:val="20"/>
              </w:rPr>
              <w:t>bidders to submit a protest of the award.</w:t>
            </w:r>
          </w:p>
        </w:tc>
      </w:tr>
      <w:tr w:rsidR="000F2684" w14:paraId="09128569" w14:textId="77777777" w:rsidTr="00C30747">
        <w:tc>
          <w:tcPr>
            <w:tcW w:w="2425" w:type="dxa"/>
          </w:tcPr>
          <w:p w14:paraId="7129936E" w14:textId="7EA5DB9B" w:rsidR="000F2684" w:rsidRPr="00A50D5F" w:rsidRDefault="000F2684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16 – Protest Response</w:t>
            </w:r>
          </w:p>
        </w:tc>
        <w:tc>
          <w:tcPr>
            <w:tcW w:w="7714" w:type="dxa"/>
          </w:tcPr>
          <w:p w14:paraId="6309C68A" w14:textId="3B7E638D" w:rsidR="000F2684" w:rsidRPr="00A50D5F" w:rsidRDefault="006267B3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If applicable, per Policy DES-170, DES reviewed any received protests based on the identified criteria and merit and responded accordingly.</w:t>
            </w:r>
          </w:p>
        </w:tc>
      </w:tr>
      <w:tr w:rsidR="000F2684" w14:paraId="3C035D1D" w14:textId="77777777" w:rsidTr="00C30747">
        <w:tc>
          <w:tcPr>
            <w:tcW w:w="2425" w:type="dxa"/>
          </w:tcPr>
          <w:p w14:paraId="179FF99B" w14:textId="3BE6B68E" w:rsidR="000F2684" w:rsidRPr="00A50D5F" w:rsidRDefault="000F2684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17 – Contract Award</w:t>
            </w:r>
          </w:p>
        </w:tc>
        <w:tc>
          <w:tcPr>
            <w:tcW w:w="7714" w:type="dxa"/>
          </w:tcPr>
          <w:p w14:paraId="6F376AA6" w14:textId="6B30838C" w:rsidR="000F2684" w:rsidRPr="00A50D5F" w:rsidRDefault="002A0460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>Per RCW 39.26.160</w:t>
            </w:r>
            <w:r>
              <w:rPr>
                <w:sz w:val="20"/>
                <w:szCs w:val="20"/>
              </w:rPr>
              <w:t>, DES announced final awards through WEBS.</w:t>
            </w:r>
          </w:p>
        </w:tc>
      </w:tr>
      <w:tr w:rsidR="000F2684" w14:paraId="21E5C920" w14:textId="77777777" w:rsidTr="00C30747">
        <w:tc>
          <w:tcPr>
            <w:tcW w:w="2425" w:type="dxa"/>
          </w:tcPr>
          <w:p w14:paraId="6C0771FC" w14:textId="5453FB59" w:rsidR="000F2684" w:rsidRPr="00A50D5F" w:rsidRDefault="000F2684" w:rsidP="007D03A1">
            <w:pPr>
              <w:spacing w:before="120"/>
              <w:rPr>
                <w:sz w:val="20"/>
                <w:szCs w:val="20"/>
              </w:rPr>
            </w:pPr>
            <w:r w:rsidRPr="00A50D5F">
              <w:rPr>
                <w:sz w:val="20"/>
                <w:szCs w:val="20"/>
              </w:rPr>
              <w:t xml:space="preserve">18 – Contract </w:t>
            </w:r>
            <w:r w:rsidR="00C30747" w:rsidRPr="00A50D5F">
              <w:rPr>
                <w:sz w:val="20"/>
                <w:szCs w:val="20"/>
              </w:rPr>
              <w:t>Kick-off</w:t>
            </w:r>
          </w:p>
        </w:tc>
        <w:tc>
          <w:tcPr>
            <w:tcW w:w="7714" w:type="dxa"/>
          </w:tcPr>
          <w:p w14:paraId="74ACBD44" w14:textId="3975FCB6" w:rsidR="000F2684" w:rsidRPr="00A50D5F" w:rsidRDefault="008511C3" w:rsidP="007D03A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created a webpage for the contract and conducted onboarding meetings with awarded vendors to ensure they understand contract requirements.</w:t>
            </w:r>
          </w:p>
        </w:tc>
      </w:tr>
    </w:tbl>
    <w:p w14:paraId="585DF23C" w14:textId="77777777" w:rsidR="002F492D" w:rsidRDefault="002F492D" w:rsidP="007D03A1"/>
    <w:sectPr w:rsidR="002F492D" w:rsidSect="007D0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5EE3"/>
    <w:multiLevelType w:val="hybridMultilevel"/>
    <w:tmpl w:val="B0C038D6"/>
    <w:lvl w:ilvl="0" w:tplc="65C2258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2D"/>
    <w:rsid w:val="000F2684"/>
    <w:rsid w:val="001019B0"/>
    <w:rsid w:val="00160F28"/>
    <w:rsid w:val="00285F75"/>
    <w:rsid w:val="002A0460"/>
    <w:rsid w:val="002A2153"/>
    <w:rsid w:val="002F492D"/>
    <w:rsid w:val="00600A0D"/>
    <w:rsid w:val="006267B3"/>
    <w:rsid w:val="007D03A1"/>
    <w:rsid w:val="008511C3"/>
    <w:rsid w:val="00954978"/>
    <w:rsid w:val="009C45CD"/>
    <w:rsid w:val="00A50D5F"/>
    <w:rsid w:val="00B84E33"/>
    <w:rsid w:val="00C30747"/>
    <w:rsid w:val="00D21AC2"/>
    <w:rsid w:val="00E10AF1"/>
    <w:rsid w:val="00F549B0"/>
    <w:rsid w:val="00F62F77"/>
    <w:rsid w:val="00F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5189"/>
  <w15:chartTrackingRefBased/>
  <w15:docId w15:val="{CF44B034-399F-4723-B4C0-96C22C03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numbered,FooterText"/>
    <w:basedOn w:val="Normal"/>
    <w:link w:val="ListParagraphChar"/>
    <w:uiPriority w:val="34"/>
    <w:qFormat/>
    <w:rsid w:val="002F492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ullet List Char,numbered Char,FooterText Char"/>
    <w:link w:val="ListParagraph"/>
    <w:uiPriority w:val="34"/>
    <w:locked/>
    <w:rsid w:val="002F492D"/>
  </w:style>
  <w:style w:type="character" w:styleId="Hyperlink">
    <w:name w:val="Hyperlink"/>
    <w:basedOn w:val="DefaultParagraphFont"/>
    <w:uiPriority w:val="99"/>
    <w:unhideWhenUsed/>
    <w:rsid w:val="007D0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3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2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-webs-vendor.des.w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.wa.gov/about/projects-initiatives/procurement-reform/current-enterprise-procurement-policies" TargetMode="External"/><Relationship Id="rId5" Type="http://schemas.openxmlformats.org/officeDocument/2006/relationships/hyperlink" Target="https://apps.leg.wa.gov/rcw/default.aspx?cite=39.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McGrew, Elena (DES)</dc:creator>
  <cp:keywords/>
  <dc:description/>
  <cp:lastModifiedBy>Mgebroff, David (DES)</cp:lastModifiedBy>
  <cp:revision>11</cp:revision>
  <dcterms:created xsi:type="dcterms:W3CDTF">2022-07-05T23:24:00Z</dcterms:created>
  <dcterms:modified xsi:type="dcterms:W3CDTF">2022-07-15T18:52:00Z</dcterms:modified>
</cp:coreProperties>
</file>